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98F37" w14:textId="465BC65C" w:rsidR="007B461C" w:rsidRDefault="001005A3" w:rsidP="001005A3">
      <w:pPr>
        <w:pStyle w:val="Heading1"/>
        <w:rPr>
          <w:rFonts w:cstheme="minorBidi"/>
          <w:kern w:val="36"/>
        </w:rPr>
      </w:pPr>
      <w:r w:rsidRPr="001005A3">
        <w:rPr>
          <w:rFonts w:cstheme="minorBidi"/>
          <w:kern w:val="36"/>
        </w:rPr>
        <w:t xml:space="preserve">Procedure for </w:t>
      </w:r>
      <w:r w:rsidR="0036695A">
        <w:rPr>
          <w:rFonts w:cstheme="minorBidi"/>
          <w:kern w:val="36"/>
        </w:rPr>
        <w:t>Selecting</w:t>
      </w:r>
      <w:r w:rsidRPr="001005A3">
        <w:rPr>
          <w:rFonts w:cstheme="minorBidi"/>
          <w:kern w:val="36"/>
        </w:rPr>
        <w:t xml:space="preserve"> </w:t>
      </w:r>
      <w:r w:rsidR="00EA7F63">
        <w:rPr>
          <w:rFonts w:cstheme="minorBidi"/>
          <w:kern w:val="36"/>
        </w:rPr>
        <w:t xml:space="preserve">COPD-X </w:t>
      </w:r>
      <w:r w:rsidRPr="001005A3">
        <w:rPr>
          <w:rFonts w:cstheme="minorBidi"/>
          <w:kern w:val="36"/>
        </w:rPr>
        <w:t>Guideline Development Group</w:t>
      </w:r>
      <w:r w:rsidR="00EA7F63">
        <w:rPr>
          <w:rFonts w:cstheme="minorBidi"/>
          <w:kern w:val="36"/>
        </w:rPr>
        <w:t xml:space="preserve"> (GDG)</w:t>
      </w:r>
      <w:r w:rsidRPr="001005A3">
        <w:rPr>
          <w:rFonts w:cstheme="minorBidi"/>
          <w:kern w:val="36"/>
        </w:rPr>
        <w:t xml:space="preserve"> Members</w:t>
      </w:r>
    </w:p>
    <w:p w14:paraId="2B0DBFA4" w14:textId="64C9BAE0" w:rsidR="002430CF" w:rsidRDefault="00BF512A">
      <w:r>
        <w:t>This procedure outlines the approach used to assess expressions of interest and recommend membership for the Guideline Development Group. It is intended to support a transparent, balanced and independent selection process.</w:t>
      </w:r>
    </w:p>
    <w:p w14:paraId="60B7D09B" w14:textId="479C8DDA" w:rsidR="0080003F" w:rsidRPr="0080003F" w:rsidRDefault="00AB29E0" w:rsidP="00AB29E0">
      <w:pPr>
        <w:spacing w:before="0" w:after="160" w:line="259" w:lineRule="auto"/>
      </w:pPr>
      <w:r>
        <w:t>Note</w:t>
      </w:r>
      <w:r w:rsidRPr="007F27B3">
        <w:t xml:space="preserve"> that all recommendations remain provisional until formal conflict of interest declarations are reviewed.</w:t>
      </w:r>
    </w:p>
    <w:p w14:paraId="05C9487F" w14:textId="3611E67E" w:rsidR="008B46F8" w:rsidRDefault="00152701" w:rsidP="00152701">
      <w:pPr>
        <w:pStyle w:val="Heading2"/>
      </w:pPr>
      <w:r>
        <w:t xml:space="preserve">Review </w:t>
      </w:r>
      <w:r w:rsidR="00105E0D">
        <w:t>and recommendation</w:t>
      </w:r>
    </w:p>
    <w:p w14:paraId="335946BD" w14:textId="036A14F8" w:rsidR="008B1505" w:rsidRPr="008B1505" w:rsidRDefault="008B1505" w:rsidP="008B1505">
      <w:r>
        <w:t xml:space="preserve">The process for reviewing the </w:t>
      </w:r>
      <w:r w:rsidR="0023668D">
        <w:t>submitted expressions of interest are summarised as follows:</w:t>
      </w:r>
    </w:p>
    <w:p w14:paraId="499CDCFB" w14:textId="20F0B38D" w:rsidR="00BF512A" w:rsidRPr="00EA7F63" w:rsidRDefault="00BF512A" w:rsidP="00EA7F63">
      <w:pPr>
        <w:pStyle w:val="ListParagraph"/>
        <w:numPr>
          <w:ilvl w:val="0"/>
          <w:numId w:val="9"/>
        </w:numPr>
      </w:pPr>
      <w:r w:rsidRPr="00EA7F63">
        <w:t xml:space="preserve">Two </w:t>
      </w:r>
      <w:r w:rsidR="005C782C">
        <w:t xml:space="preserve">external (ALEC) </w:t>
      </w:r>
      <w:r w:rsidRPr="00EA7F63">
        <w:t>reviewers independently assess all expressions of interest.</w:t>
      </w:r>
    </w:p>
    <w:p w14:paraId="21D66798" w14:textId="77777777" w:rsidR="00BF512A" w:rsidRPr="00EA7F63" w:rsidRDefault="00BF512A" w:rsidP="00EA7F63">
      <w:pPr>
        <w:pStyle w:val="ListParagraph"/>
        <w:numPr>
          <w:ilvl w:val="0"/>
          <w:numId w:val="9"/>
        </w:numPr>
      </w:pPr>
      <w:r w:rsidRPr="00EA7F63">
        <w:t>The reviewers meet to compare assessments, discuss differences and agree on a reconciled position.</w:t>
      </w:r>
    </w:p>
    <w:p w14:paraId="395106F7" w14:textId="77777777" w:rsidR="00BF512A" w:rsidRPr="00EA7F63" w:rsidRDefault="00BF512A" w:rsidP="00EA7F63">
      <w:pPr>
        <w:pStyle w:val="ListParagraph"/>
        <w:numPr>
          <w:ilvl w:val="0"/>
          <w:numId w:val="9"/>
        </w:numPr>
      </w:pPr>
      <w:r w:rsidRPr="00EA7F63">
        <w:t>Where candidates are clear inclusions for both reviewers, they are progressed for recommended membership.</w:t>
      </w:r>
    </w:p>
    <w:p w14:paraId="7484F5EA" w14:textId="77777777" w:rsidR="00BF512A" w:rsidRPr="00EA7F63" w:rsidRDefault="00BF512A" w:rsidP="00EA7F63">
      <w:pPr>
        <w:pStyle w:val="ListParagraph"/>
        <w:numPr>
          <w:ilvl w:val="0"/>
          <w:numId w:val="9"/>
        </w:numPr>
      </w:pPr>
      <w:r w:rsidRPr="00EA7F63">
        <w:t>Where reviewer assessments differ, the reviewers consider the overall panel composition, including the number and type of clinicians or experts required and the distinct contribution each candidate would make.</w:t>
      </w:r>
    </w:p>
    <w:p w14:paraId="2BDAF716" w14:textId="77777777" w:rsidR="00BF512A" w:rsidRPr="00EA7F63" w:rsidRDefault="00BF512A" w:rsidP="00EA7F63">
      <w:pPr>
        <w:pStyle w:val="ListParagraph"/>
        <w:numPr>
          <w:ilvl w:val="0"/>
          <w:numId w:val="9"/>
        </w:numPr>
      </w:pPr>
      <w:r w:rsidRPr="00EA7F63">
        <w:t>Candidates not recommended for inclusion are identified through the same independent and reconciled review process.</w:t>
      </w:r>
    </w:p>
    <w:p w14:paraId="0A45E22F" w14:textId="2BC0C6D6" w:rsidR="00BF512A" w:rsidRPr="00EA7F63" w:rsidRDefault="00722774" w:rsidP="00EA7F63">
      <w:pPr>
        <w:pStyle w:val="ListParagraph"/>
        <w:numPr>
          <w:ilvl w:val="0"/>
          <w:numId w:val="9"/>
        </w:numPr>
      </w:pPr>
      <w:r>
        <w:t>Lung Foundation Australia</w:t>
      </w:r>
      <w:r w:rsidR="00BF512A" w:rsidRPr="00EA7F63">
        <w:t xml:space="preserve"> and current committee preferences </w:t>
      </w:r>
      <w:r>
        <w:t>provided</w:t>
      </w:r>
      <w:r w:rsidR="00BF512A" w:rsidRPr="00EA7F63">
        <w:t xml:space="preserve"> are considered as one input among several. These preferences are used primarily as a secondary consideration where candidates are otherwise closely matched.</w:t>
      </w:r>
    </w:p>
    <w:p w14:paraId="3602DAB9" w14:textId="77777777" w:rsidR="00BF512A" w:rsidRPr="00EA7F63" w:rsidRDefault="00BF512A" w:rsidP="00EA7F63">
      <w:pPr>
        <w:pStyle w:val="ListParagraph"/>
        <w:numPr>
          <w:ilvl w:val="0"/>
          <w:numId w:val="9"/>
        </w:numPr>
      </w:pPr>
      <w:r w:rsidRPr="00EA7F63">
        <w:t>The reviewers must exercise independent judgement. ALEC recommendations may diverge from LFA or current committee indications where the selection criteria support a different outcome.</w:t>
      </w:r>
    </w:p>
    <w:p w14:paraId="170A88FB" w14:textId="50654E39" w:rsidR="0080003F" w:rsidRDefault="00BF512A" w:rsidP="0080003F">
      <w:pPr>
        <w:pStyle w:val="ListParagraph"/>
        <w:numPr>
          <w:ilvl w:val="0"/>
          <w:numId w:val="9"/>
        </w:numPr>
      </w:pPr>
      <w:r w:rsidRPr="00EA7F63">
        <w:t>All inclusion decisions remain provisional until formal conflict of interest declarations have been received and reviewed.</w:t>
      </w:r>
    </w:p>
    <w:p w14:paraId="32E27E28" w14:textId="51DFEA43" w:rsidR="005513D0" w:rsidRDefault="005513D0" w:rsidP="0080003F">
      <w:pPr>
        <w:pStyle w:val="ListParagraph"/>
        <w:numPr>
          <w:ilvl w:val="0"/>
          <w:numId w:val="9"/>
        </w:numPr>
      </w:pPr>
      <w:r>
        <w:t>A summary of consensus recommendations is prepared by the two reviewers</w:t>
      </w:r>
      <w:r w:rsidR="006D66AF">
        <w:t xml:space="preserve"> and provided to Lung Foundation Australia, alongside a record of the criteria applied to support each recommendation.</w:t>
      </w:r>
    </w:p>
    <w:p w14:paraId="1D85FA10" w14:textId="2C43904F" w:rsidR="007B461C" w:rsidRPr="007B4891" w:rsidRDefault="00972BB6" w:rsidP="00955821">
      <w:r>
        <w:t>T</w:t>
      </w:r>
      <w:r w:rsidR="00955821">
        <w:t>he table below summarises</w:t>
      </w:r>
      <w:r w:rsidR="005C782C">
        <w:t xml:space="preserve"> the</w:t>
      </w:r>
      <w:r w:rsidR="00955821">
        <w:t xml:space="preserve"> </w:t>
      </w:r>
      <w:r w:rsidR="0099588A">
        <w:t xml:space="preserve">review criteria </w:t>
      </w:r>
      <w:r w:rsidR="00092FA5">
        <w:t>used for the assessment</w:t>
      </w:r>
      <w:r w:rsidR="00955821">
        <w:t>.</w:t>
      </w:r>
      <w:r w:rsidR="008A28A7">
        <w:t xml:space="preserve"> </w:t>
      </w:r>
    </w:p>
    <w:tbl>
      <w:tblPr>
        <w:tblStyle w:val="ListTable3-Accent1"/>
        <w:tblW w:w="0" w:type="auto"/>
        <w:tblLook w:val="04A0" w:firstRow="1" w:lastRow="0" w:firstColumn="1" w:lastColumn="0" w:noHBand="0" w:noVBand="1"/>
      </w:tblPr>
      <w:tblGrid>
        <w:gridCol w:w="2689"/>
        <w:gridCol w:w="7789"/>
      </w:tblGrid>
      <w:tr w:rsidR="000C5C01" w:rsidRPr="007F27B3" w14:paraId="46236783" w14:textId="77777777" w:rsidTr="002430C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89" w:type="dxa"/>
            <w:hideMark/>
          </w:tcPr>
          <w:p w14:paraId="06288CE9" w14:textId="77777777" w:rsidR="000C5C01" w:rsidRPr="007F27B3" w:rsidRDefault="000C5C01" w:rsidP="007F27B3">
            <w:pPr>
              <w:rPr>
                <w:lang w:val="en-AU" w:eastAsia="en-AU"/>
              </w:rPr>
            </w:pPr>
            <w:r w:rsidRPr="007F27B3">
              <w:t>Criterion</w:t>
            </w:r>
          </w:p>
        </w:tc>
        <w:tc>
          <w:tcPr>
            <w:tcW w:w="7789" w:type="dxa"/>
            <w:hideMark/>
          </w:tcPr>
          <w:p w14:paraId="5CB27AF1" w14:textId="77777777" w:rsidR="000C5C01" w:rsidRPr="007F27B3" w:rsidRDefault="000C5C01" w:rsidP="007F27B3">
            <w:pPr>
              <w:cnfStyle w:val="100000000000" w:firstRow="1" w:lastRow="0" w:firstColumn="0" w:lastColumn="0" w:oddVBand="0" w:evenVBand="0" w:oddHBand="0" w:evenHBand="0" w:firstRowFirstColumn="0" w:firstRowLastColumn="0" w:lastRowFirstColumn="0" w:lastRowLastColumn="0"/>
            </w:pPr>
            <w:r w:rsidRPr="007F27B3">
              <w:t>Application</w:t>
            </w:r>
          </w:p>
        </w:tc>
      </w:tr>
      <w:tr w:rsidR="000C5C01" w:rsidRPr="007F27B3" w14:paraId="2175BC11" w14:textId="77777777" w:rsidTr="002430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hideMark/>
          </w:tcPr>
          <w:p w14:paraId="5746DF03" w14:textId="77777777" w:rsidR="000C5C01" w:rsidRPr="007F27B3" w:rsidRDefault="000C5C01" w:rsidP="007F27B3">
            <w:r w:rsidRPr="007F27B3">
              <w:t>Distinct expertise</w:t>
            </w:r>
          </w:p>
        </w:tc>
        <w:tc>
          <w:tcPr>
            <w:tcW w:w="7789" w:type="dxa"/>
            <w:hideMark/>
          </w:tcPr>
          <w:p w14:paraId="54E6486F" w14:textId="77777777" w:rsidR="000C5C01" w:rsidRPr="007F27B3" w:rsidRDefault="000C5C01" w:rsidP="007F27B3">
            <w:pPr>
              <w:cnfStyle w:val="000000100000" w:firstRow="0" w:lastRow="0" w:firstColumn="0" w:lastColumn="0" w:oddVBand="0" w:evenVBand="0" w:oddHBand="1" w:evenHBand="0" w:firstRowFirstColumn="0" w:firstRowLastColumn="0" w:lastRowFirstColumn="0" w:lastRowLastColumn="0"/>
            </w:pPr>
            <w:r w:rsidRPr="007F27B3">
              <w:t>Prioritise candidates who fill identified gaps in expertise or experience. Where candidates offer similar roles, settings or experience, select the candidate with the clearest distinct contribution.</w:t>
            </w:r>
          </w:p>
        </w:tc>
      </w:tr>
      <w:tr w:rsidR="000C5C01" w:rsidRPr="007F27B3" w14:paraId="4870311A" w14:textId="77777777" w:rsidTr="002430CF">
        <w:tc>
          <w:tcPr>
            <w:cnfStyle w:val="001000000000" w:firstRow="0" w:lastRow="0" w:firstColumn="1" w:lastColumn="0" w:oddVBand="0" w:evenVBand="0" w:oddHBand="0" w:evenHBand="0" w:firstRowFirstColumn="0" w:firstRowLastColumn="0" w:lastRowFirstColumn="0" w:lastRowLastColumn="0"/>
            <w:tcW w:w="2689" w:type="dxa"/>
            <w:hideMark/>
          </w:tcPr>
          <w:p w14:paraId="3CBCA7AD" w14:textId="77777777" w:rsidR="000C5C01" w:rsidRPr="007F27B3" w:rsidRDefault="000C5C01" w:rsidP="007F27B3">
            <w:r w:rsidRPr="007F27B3">
              <w:t>Discipline balance</w:t>
            </w:r>
          </w:p>
        </w:tc>
        <w:tc>
          <w:tcPr>
            <w:tcW w:w="7789" w:type="dxa"/>
            <w:hideMark/>
          </w:tcPr>
          <w:p w14:paraId="2C7966F9" w14:textId="77777777" w:rsidR="000C5C01" w:rsidRPr="007F27B3" w:rsidRDefault="000C5C01" w:rsidP="007F27B3">
            <w:pPr>
              <w:cnfStyle w:val="000000000000" w:firstRow="0" w:lastRow="0" w:firstColumn="0" w:lastColumn="0" w:oddVBand="0" w:evenVBand="0" w:oddHBand="0" w:evenHBand="0" w:firstRowFirstColumn="0" w:firstRowLastColumn="0" w:lastRowFirstColumn="0" w:lastRowLastColumn="0"/>
            </w:pPr>
            <w:r w:rsidRPr="007F27B3">
              <w:t>Consider the composition of the existing committee and prioritise candidates who broaden the panel’s clinical perspective, particularly practising clinicians and non-respiratory-physician clinicians where appropriate.</w:t>
            </w:r>
          </w:p>
        </w:tc>
      </w:tr>
      <w:tr w:rsidR="000C5C01" w:rsidRPr="007F27B3" w14:paraId="265FA19F" w14:textId="77777777" w:rsidTr="002430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hideMark/>
          </w:tcPr>
          <w:p w14:paraId="131899B3" w14:textId="77777777" w:rsidR="000C5C01" w:rsidRPr="007F27B3" w:rsidRDefault="000C5C01" w:rsidP="007F27B3">
            <w:r w:rsidRPr="007F27B3">
              <w:t>Clinical currency</w:t>
            </w:r>
          </w:p>
        </w:tc>
        <w:tc>
          <w:tcPr>
            <w:tcW w:w="7789" w:type="dxa"/>
            <w:hideMark/>
          </w:tcPr>
          <w:p w14:paraId="31CD270B" w14:textId="77777777" w:rsidR="000C5C01" w:rsidRPr="007F27B3" w:rsidRDefault="000C5C01" w:rsidP="007F27B3">
            <w:pPr>
              <w:cnfStyle w:val="000000100000" w:firstRow="0" w:lastRow="0" w:firstColumn="0" w:lastColumn="0" w:oddVBand="0" w:evenVBand="0" w:oddHBand="1" w:evenHBand="0" w:firstRowFirstColumn="0" w:firstRowLastColumn="0" w:lastRowFirstColumn="0" w:lastRowLastColumn="0"/>
            </w:pPr>
            <w:r w:rsidRPr="007F27B3">
              <w:t>Consider the extent to which each candidate’s current role involves active clinical practice. Candidates whose work is predominantly academic are weighted accordingly.</w:t>
            </w:r>
          </w:p>
        </w:tc>
      </w:tr>
      <w:tr w:rsidR="000C5C01" w:rsidRPr="007F27B3" w14:paraId="143A38D8" w14:textId="77777777" w:rsidTr="002430CF">
        <w:tc>
          <w:tcPr>
            <w:cnfStyle w:val="001000000000" w:firstRow="0" w:lastRow="0" w:firstColumn="1" w:lastColumn="0" w:oddVBand="0" w:evenVBand="0" w:oddHBand="0" w:evenHBand="0" w:firstRowFirstColumn="0" w:firstRowLastColumn="0" w:lastRowFirstColumn="0" w:lastRowLastColumn="0"/>
            <w:tcW w:w="2689" w:type="dxa"/>
            <w:hideMark/>
          </w:tcPr>
          <w:p w14:paraId="3DC81552" w14:textId="77777777" w:rsidR="000C5C01" w:rsidRPr="007F27B3" w:rsidRDefault="000C5C01" w:rsidP="007F27B3">
            <w:r w:rsidRPr="007F27B3">
              <w:lastRenderedPageBreak/>
              <w:t>Geographic distribution</w:t>
            </w:r>
          </w:p>
        </w:tc>
        <w:tc>
          <w:tcPr>
            <w:tcW w:w="7789" w:type="dxa"/>
            <w:hideMark/>
          </w:tcPr>
          <w:p w14:paraId="3FE6CC59" w14:textId="77777777" w:rsidR="000C5C01" w:rsidRPr="007F27B3" w:rsidRDefault="000C5C01" w:rsidP="007F27B3">
            <w:pPr>
              <w:cnfStyle w:val="000000000000" w:firstRow="0" w:lastRow="0" w:firstColumn="0" w:lastColumn="0" w:oddVBand="0" w:evenVBand="0" w:oddHBand="0" w:evenHBand="0" w:firstRowFirstColumn="0" w:firstRowLastColumn="0" w:lastRowFirstColumn="0" w:lastRowLastColumn="0"/>
            </w:pPr>
            <w:r w:rsidRPr="007F27B3">
              <w:t>Consider state and territory spread, including metropolitan, regional and westward representation, to avoid over-representation from any one jurisdiction or setting.</w:t>
            </w:r>
          </w:p>
        </w:tc>
      </w:tr>
      <w:tr w:rsidR="000C5C01" w:rsidRPr="007F27B3" w14:paraId="4C2E4425" w14:textId="77777777" w:rsidTr="002430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hideMark/>
          </w:tcPr>
          <w:p w14:paraId="18A36706" w14:textId="77777777" w:rsidR="000C5C01" w:rsidRPr="007F27B3" w:rsidRDefault="000C5C01" w:rsidP="007F27B3">
            <w:r w:rsidRPr="007F27B3">
              <w:t>Manageability of conflicts of interest</w:t>
            </w:r>
          </w:p>
        </w:tc>
        <w:tc>
          <w:tcPr>
            <w:tcW w:w="7789" w:type="dxa"/>
            <w:hideMark/>
          </w:tcPr>
          <w:p w14:paraId="79F34A66" w14:textId="77777777" w:rsidR="000C5C01" w:rsidRDefault="000C5C01" w:rsidP="007F27B3">
            <w:pPr>
              <w:cnfStyle w:val="000000100000" w:firstRow="0" w:lastRow="0" w:firstColumn="0" w:lastColumn="0" w:oddVBand="0" w:evenVBand="0" w:oddHBand="1" w:evenHBand="0" w:firstRowFirstColumn="0" w:firstRowLastColumn="0" w:lastRowFirstColumn="0" w:lastRowLastColumn="0"/>
            </w:pPr>
            <w:r w:rsidRPr="007F27B3">
              <w:t>Do not recommend candidates where anticipated conflicts are likely to be unmanageable within the group’s work.</w:t>
            </w:r>
          </w:p>
          <w:p w14:paraId="0DB92F55" w14:textId="77777777" w:rsidR="002430CF" w:rsidRDefault="002430CF" w:rsidP="007F27B3">
            <w:pPr>
              <w:cnfStyle w:val="000000100000" w:firstRow="0" w:lastRow="0" w:firstColumn="0" w:lastColumn="0" w:oddVBand="0" w:evenVBand="0" w:oddHBand="1" w:evenHBand="0" w:firstRowFirstColumn="0" w:firstRowLastColumn="0" w:lastRowFirstColumn="0" w:lastRowLastColumn="0"/>
            </w:pPr>
            <w:r>
              <w:t>Conflict of interest assessment includes the following:</w:t>
            </w:r>
          </w:p>
          <w:p w14:paraId="59B865CC" w14:textId="77777777" w:rsidR="002430CF" w:rsidRPr="007F27B3" w:rsidRDefault="002430CF" w:rsidP="002430CF">
            <w:pPr>
              <w:pStyle w:val="ListParagraph"/>
              <w:numPr>
                <w:ilvl w:val="0"/>
                <w:numId w:val="10"/>
              </w:numPr>
              <w:cnfStyle w:val="000000100000" w:firstRow="0" w:lastRow="0" w:firstColumn="0" w:lastColumn="0" w:oddVBand="0" w:evenVBand="0" w:oddHBand="1" w:evenHBand="0" w:firstRowFirstColumn="0" w:firstRowLastColumn="0" w:lastRowFirstColumn="0" w:lastRowLastColumn="0"/>
            </w:pPr>
            <w:r w:rsidRPr="007F27B3">
              <w:t>Obtain formal conflict of interest declarations for all candidates before confirming final membership.</w:t>
            </w:r>
          </w:p>
          <w:p w14:paraId="12261FA6" w14:textId="77777777" w:rsidR="002430CF" w:rsidRPr="007F27B3" w:rsidRDefault="002430CF" w:rsidP="002430CF">
            <w:pPr>
              <w:pStyle w:val="ListParagraph"/>
              <w:numPr>
                <w:ilvl w:val="0"/>
                <w:numId w:val="10"/>
              </w:numPr>
              <w:cnfStyle w:val="000000100000" w:firstRow="0" w:lastRow="0" w:firstColumn="0" w:lastColumn="0" w:oddVBand="0" w:evenVBand="0" w:oddHBand="1" w:evenHBand="0" w:firstRowFirstColumn="0" w:firstRowLastColumn="0" w:lastRowFirstColumn="0" w:lastRowLastColumn="0"/>
            </w:pPr>
            <w:r w:rsidRPr="007F27B3">
              <w:t>Review declared and anticipated conflicts to determine whether each conflict can be appropriately managed within the work of the group.</w:t>
            </w:r>
          </w:p>
          <w:p w14:paraId="5B98E34B" w14:textId="77777777" w:rsidR="002430CF" w:rsidRPr="007F27B3" w:rsidRDefault="002430CF" w:rsidP="002430CF">
            <w:pPr>
              <w:pStyle w:val="ListParagraph"/>
              <w:numPr>
                <w:ilvl w:val="0"/>
                <w:numId w:val="10"/>
              </w:numPr>
              <w:cnfStyle w:val="000000100000" w:firstRow="0" w:lastRow="0" w:firstColumn="0" w:lastColumn="0" w:oddVBand="0" w:evenVBand="0" w:oddHBand="1" w:evenHBand="0" w:firstRowFirstColumn="0" w:firstRowLastColumn="0" w:lastRowFirstColumn="0" w:lastRowLastColumn="0"/>
            </w:pPr>
            <w:r w:rsidRPr="007F27B3">
              <w:t>Refer complex scenarios to ALEC’s independent conflict of interest panel for separate assessment.</w:t>
            </w:r>
          </w:p>
          <w:p w14:paraId="135492BC" w14:textId="77777777" w:rsidR="002430CF" w:rsidRPr="007F27B3" w:rsidRDefault="002430CF" w:rsidP="002430CF">
            <w:pPr>
              <w:pStyle w:val="ListParagraph"/>
              <w:numPr>
                <w:ilvl w:val="0"/>
                <w:numId w:val="10"/>
              </w:numPr>
              <w:cnfStyle w:val="000000100000" w:firstRow="0" w:lastRow="0" w:firstColumn="0" w:lastColumn="0" w:oddVBand="0" w:evenVBand="0" w:oddHBand="1" w:evenHBand="0" w:firstRowFirstColumn="0" w:firstRowLastColumn="0" w:lastRowFirstColumn="0" w:lastRowLastColumn="0"/>
            </w:pPr>
            <w:r w:rsidRPr="007F27B3">
              <w:t>Apply a cautious approach that recognises evidence showing that small and non-financial conflicts can influence attitudes and practice.</w:t>
            </w:r>
          </w:p>
          <w:p w14:paraId="2E8DEBA6" w14:textId="77777777" w:rsidR="002430CF" w:rsidRPr="007F27B3" w:rsidRDefault="002430CF" w:rsidP="002430CF">
            <w:pPr>
              <w:pStyle w:val="ListParagraph"/>
              <w:numPr>
                <w:ilvl w:val="0"/>
                <w:numId w:val="10"/>
              </w:numPr>
              <w:cnfStyle w:val="000000100000" w:firstRow="0" w:lastRow="0" w:firstColumn="0" w:lastColumn="0" w:oddVBand="0" w:evenVBand="0" w:oddHBand="1" w:evenHBand="0" w:firstRowFirstColumn="0" w:firstRowLastColumn="0" w:lastRowFirstColumn="0" w:lastRowLastColumn="0"/>
            </w:pPr>
            <w:r w:rsidRPr="007F27B3">
              <w:t>Communicate conflict of interest considerations in a direct and matter-of-fact manner. Industry funding is treated as a declared potential conflict and may be acted on as part of the selection process.</w:t>
            </w:r>
          </w:p>
          <w:p w14:paraId="4FB41FA1" w14:textId="77058D3F" w:rsidR="002430CF" w:rsidRPr="007F27B3" w:rsidRDefault="002430CF" w:rsidP="007F27B3">
            <w:pPr>
              <w:pStyle w:val="ListParagraph"/>
              <w:numPr>
                <w:ilvl w:val="0"/>
                <w:numId w:val="10"/>
              </w:numPr>
              <w:cnfStyle w:val="000000100000" w:firstRow="0" w:lastRow="0" w:firstColumn="0" w:lastColumn="0" w:oddVBand="0" w:evenVBand="0" w:oddHBand="1" w:evenHBand="0" w:firstRowFirstColumn="0" w:firstRowLastColumn="0" w:lastRowFirstColumn="0" w:lastRowLastColumn="0"/>
            </w:pPr>
            <w:r w:rsidRPr="007F27B3">
              <w:t>Where a candidate’s conflict profile is considered unmanageable, do not recommend the candidate for inclusion at that stage.</w:t>
            </w:r>
          </w:p>
        </w:tc>
      </w:tr>
      <w:tr w:rsidR="000C5C01" w:rsidRPr="007F27B3" w14:paraId="1B5A90B2" w14:textId="77777777" w:rsidTr="002430CF">
        <w:tc>
          <w:tcPr>
            <w:cnfStyle w:val="001000000000" w:firstRow="0" w:lastRow="0" w:firstColumn="1" w:lastColumn="0" w:oddVBand="0" w:evenVBand="0" w:oddHBand="0" w:evenHBand="0" w:firstRowFirstColumn="0" w:firstRowLastColumn="0" w:lastRowFirstColumn="0" w:lastRowLastColumn="0"/>
            <w:tcW w:w="2689" w:type="dxa"/>
            <w:hideMark/>
          </w:tcPr>
          <w:p w14:paraId="25F9256C" w14:textId="77777777" w:rsidR="000C5C01" w:rsidRPr="007F27B3" w:rsidRDefault="000C5C01" w:rsidP="007F27B3">
            <w:r w:rsidRPr="007F27B3">
              <w:t>LFA and current committee preferences</w:t>
            </w:r>
          </w:p>
        </w:tc>
        <w:tc>
          <w:tcPr>
            <w:tcW w:w="7789" w:type="dxa"/>
            <w:hideMark/>
          </w:tcPr>
          <w:p w14:paraId="621D5BE0" w14:textId="77777777" w:rsidR="000C5C01" w:rsidRPr="007F27B3" w:rsidRDefault="000C5C01" w:rsidP="007F27B3">
            <w:pPr>
              <w:cnfStyle w:val="000000000000" w:firstRow="0" w:lastRow="0" w:firstColumn="0" w:lastColumn="0" w:oddVBand="0" w:evenVBand="0" w:oddHBand="0" w:evenHBand="0" w:firstRowFirstColumn="0" w:firstRowLastColumn="0" w:lastRowFirstColumn="0" w:lastRowLastColumn="0"/>
            </w:pPr>
            <w:r w:rsidRPr="007F27B3">
              <w:t>Use recorded preferences as a secondary input, primarily as a tie-breaker between otherwise comparable candidates.</w:t>
            </w:r>
          </w:p>
        </w:tc>
      </w:tr>
    </w:tbl>
    <w:p w14:paraId="393102A6" w14:textId="3CFDD70B" w:rsidR="007B461C" w:rsidRDefault="007B461C" w:rsidP="006F17AA">
      <w:pPr>
        <w:spacing w:before="0" w:after="160" w:line="259" w:lineRule="auto"/>
      </w:pPr>
    </w:p>
    <w:p w14:paraId="144891BF" w14:textId="4983453B" w:rsidR="0080003F" w:rsidRDefault="008B46F8" w:rsidP="003C51C6">
      <w:pPr>
        <w:pStyle w:val="Heading2"/>
      </w:pPr>
      <w:r>
        <w:t>Selection</w:t>
      </w:r>
    </w:p>
    <w:p w14:paraId="25DD2315" w14:textId="3D3D2D4D" w:rsidR="00EB2FC0" w:rsidRDefault="00EB2FC0">
      <w:pPr>
        <w:rPr>
          <w:kern w:val="2"/>
          <w:szCs w:val="20"/>
          <w:lang w:val="en-AU" w:eastAsia="en-AU"/>
          <w14:ligatures w14:val="standardContextual"/>
        </w:rPr>
      </w:pPr>
      <w:r>
        <w:t xml:space="preserve">Final decisions regarding GDG membership rest with </w:t>
      </w:r>
      <w:r w:rsidR="00183CEA">
        <w:t>the Executive Sponsor (</w:t>
      </w:r>
      <w:r>
        <w:t>Lung Foundation Australia</w:t>
      </w:r>
      <w:r w:rsidR="00183CEA">
        <w:t>)</w:t>
      </w:r>
      <w:r>
        <w:t xml:space="preserve">, in accordance with the Terms of Reference. In making final membership decisions, </w:t>
      </w:r>
      <w:r w:rsidR="00183CEA">
        <w:t>Lung Foundation Australia</w:t>
      </w:r>
      <w:r>
        <w:t xml:space="preserve"> is responsible for ensuring that the composition of the GDG supports the effective delivery of the COPD-X Guidelines, including appropriate expertise, discipline balance, geographic representation, diversity of experience and manageable conflicts of interest.</w:t>
      </w:r>
    </w:p>
    <w:p w14:paraId="2CA09AE2" w14:textId="77777777" w:rsidR="00EB2FC0" w:rsidRDefault="00EB2FC0">
      <w:pPr>
        <w:rPr>
          <w:kern w:val="2"/>
          <w:szCs w:val="20"/>
          <w:lang w:val="en-AU" w:eastAsia="en-AU"/>
          <w14:ligatures w14:val="standardContextual"/>
        </w:rPr>
      </w:pPr>
      <w:r>
        <w:t>Where LFA makes a final membership decision that differs from ALEC’s recommendation, the rationale for that decision should be documented. The rationale should identify the relevant consideration that supports the decision, such as the candidate’s contribution to the overall composition of the GDG, strategic relevance to the guideline redevelopment, or the need to support effective delivery of the COPD-X Guidelines.</w:t>
      </w:r>
    </w:p>
    <w:p w14:paraId="6CE582CB" w14:textId="10B31BF8" w:rsidR="00EB2FC0" w:rsidRPr="006D66AF" w:rsidRDefault="00EB2FC0">
      <w:pPr>
        <w:rPr>
          <w:kern w:val="2"/>
          <w:szCs w:val="20"/>
          <w:lang w:val="en-AU" w:eastAsia="en-AU"/>
          <w14:ligatures w14:val="standardContextual"/>
        </w:rPr>
      </w:pPr>
      <w:r>
        <w:t>Any departure from ALEC’s recommendation does not alter the independent review process or the basis of ALEC’s assessment. All final membership decisions remain provisional until formal conflict of interest declarations have been received, reviewed and, where required, managed in accordance with the agreed conflict of interest process.</w:t>
      </w:r>
    </w:p>
    <w:sectPr w:rsidR="00EB2FC0" w:rsidRPr="006D66AF" w:rsidSect="007B461C">
      <w:footerReference w:type="default" r:id="rId11"/>
      <w:headerReference w:type="first" r:id="rId12"/>
      <w:footerReference w:type="first" r:id="rId13"/>
      <w:pgSz w:w="11906" w:h="16838"/>
      <w:pgMar w:top="851" w:right="709" w:bottom="851" w:left="709" w:header="850" w:footer="51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E273D" w14:textId="77777777" w:rsidR="00384AEC" w:rsidRDefault="00384AEC" w:rsidP="00A535C5">
      <w:pPr>
        <w:spacing w:after="0" w:line="240" w:lineRule="auto"/>
      </w:pPr>
      <w:r>
        <w:separator/>
      </w:r>
    </w:p>
  </w:endnote>
  <w:endnote w:type="continuationSeparator" w:id="0">
    <w:p w14:paraId="3A5ABFDF" w14:textId="77777777" w:rsidR="00384AEC" w:rsidRDefault="00384AEC" w:rsidP="00A53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81000003" w:usb1="00000000" w:usb2="00000000" w:usb3="00000000" w:csb0="00010001" w:csb1="00000000"/>
  </w:font>
  <w:font w:name="Century Gothic">
    <w:altName w:val="Calibri"/>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ncordW00-Light">
    <w:panose1 w:val="02000000000000000000"/>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741784069"/>
      <w:docPartObj>
        <w:docPartGallery w:val="Page Numbers (Bottom of Page)"/>
        <w:docPartUnique/>
      </w:docPartObj>
    </w:sdtPr>
    <w:sdtContent>
      <w:sdt>
        <w:sdtPr>
          <w:rPr>
            <w:sz w:val="18"/>
            <w:szCs w:val="18"/>
          </w:rPr>
          <w:id w:val="-1785877533"/>
          <w:docPartObj>
            <w:docPartGallery w:val="Page Numbers (Top of Page)"/>
            <w:docPartUnique/>
          </w:docPartObj>
        </w:sdtPr>
        <w:sdtContent>
          <w:p w14:paraId="5D646B6A" w14:textId="77777777" w:rsidR="007040C9" w:rsidRPr="008C1C9A" w:rsidRDefault="008C1C9A" w:rsidP="008C1C9A">
            <w:pPr>
              <w:pStyle w:val="Footer"/>
              <w:tabs>
                <w:tab w:val="left" w:pos="1110"/>
              </w:tabs>
              <w:rPr>
                <w:sz w:val="18"/>
                <w:szCs w:val="18"/>
                <w:lang w:val="en-US"/>
              </w:rPr>
            </w:pPr>
            <w:r w:rsidRPr="008C1C9A">
              <w:rPr>
                <w:sz w:val="18"/>
                <w:szCs w:val="18"/>
                <w:lang w:val="en-US"/>
              </w:rPr>
              <w:t xml:space="preserve"> </w:t>
            </w:r>
            <w:sdt>
              <w:sdtPr>
                <w:rPr>
                  <w:sz w:val="18"/>
                  <w:szCs w:val="18"/>
                  <w:lang w:val="en-US"/>
                </w:rPr>
                <w:id w:val="1216090930"/>
                <w:docPartObj>
                  <w:docPartGallery w:val="Page Numbers (Bottom of Page)"/>
                  <w:docPartUnique/>
                </w:docPartObj>
              </w:sdtPr>
              <w:sdtContent>
                <w:sdt>
                  <w:sdtPr>
                    <w:rPr>
                      <w:sz w:val="18"/>
                      <w:szCs w:val="18"/>
                      <w:lang w:val="en-US"/>
                    </w:rPr>
                    <w:id w:val="-1215348459"/>
                    <w:docPartObj>
                      <w:docPartGallery w:val="Page Numbers (Top of Page)"/>
                      <w:docPartUnique/>
                    </w:docPartObj>
                  </w:sdtPr>
                  <w:sdtContent>
                    <w:r w:rsidRPr="007B461C">
                      <w:rPr>
                        <w:b/>
                        <w:bCs/>
                        <w:sz w:val="18"/>
                        <w:szCs w:val="18"/>
                        <w:lang w:val="en-US"/>
                      </w:rPr>
                      <w:t>Lung Health Helpline 1800 654 301</w:t>
                    </w:r>
                    <w:r w:rsidRPr="007B461C">
                      <w:rPr>
                        <w:sz w:val="18"/>
                        <w:szCs w:val="18"/>
                        <w:lang w:val="en-US"/>
                      </w:rPr>
                      <w:t xml:space="preserve"> </w:t>
                    </w:r>
                    <w:r w:rsidRPr="007B461C">
                      <w:rPr>
                        <w:b/>
                        <w:bCs/>
                        <w:sz w:val="18"/>
                        <w:szCs w:val="18"/>
                        <w:lang w:val="en-US"/>
                      </w:rPr>
                      <w:t>|</w:t>
                    </w:r>
                    <w:r w:rsidRPr="007B461C">
                      <w:rPr>
                        <w:sz w:val="18"/>
                        <w:szCs w:val="18"/>
                        <w:lang w:val="en-US"/>
                      </w:rPr>
                      <w:t xml:space="preserve"> lungfoundation.com.au</w:t>
                    </w:r>
                    <w:r>
                      <w:rPr>
                        <w:sz w:val="18"/>
                        <w:szCs w:val="18"/>
                        <w:lang w:val="en-US"/>
                      </w:rPr>
                      <w:t xml:space="preserve"> </w:t>
                    </w:r>
                    <w:r>
                      <w:rPr>
                        <w:sz w:val="18"/>
                        <w:szCs w:val="18"/>
                        <w:lang w:val="en-US"/>
                      </w:rPr>
                      <w:tab/>
                    </w:r>
                    <w:r>
                      <w:rPr>
                        <w:rFonts w:cs="ConcordW00-Light"/>
                        <w:sz w:val="18"/>
                        <w:szCs w:val="18"/>
                      </w:rPr>
                      <w:tab/>
                    </w:r>
                    <w:r>
                      <w:rPr>
                        <w:sz w:val="18"/>
                        <w:szCs w:val="18"/>
                        <w:lang w:val="en-US"/>
                      </w:rPr>
                      <w:t>P</w:t>
                    </w:r>
                    <w:r w:rsidRPr="007B461C">
                      <w:rPr>
                        <w:sz w:val="18"/>
                        <w:szCs w:val="18"/>
                        <w:lang w:val="en-US"/>
                      </w:rPr>
                      <w:t xml:space="preserve">age </w:t>
                    </w:r>
                    <w:r w:rsidRPr="007B461C">
                      <w:rPr>
                        <w:b/>
                        <w:bCs/>
                        <w:sz w:val="18"/>
                        <w:szCs w:val="18"/>
                        <w:lang w:val="en-US"/>
                      </w:rPr>
                      <w:fldChar w:fldCharType="begin"/>
                    </w:r>
                    <w:r w:rsidRPr="007B461C">
                      <w:rPr>
                        <w:b/>
                        <w:bCs/>
                        <w:sz w:val="18"/>
                        <w:szCs w:val="18"/>
                        <w:lang w:val="en-US"/>
                      </w:rPr>
                      <w:instrText xml:space="preserve"> PAGE </w:instrText>
                    </w:r>
                    <w:r w:rsidRPr="007B461C">
                      <w:rPr>
                        <w:b/>
                        <w:bCs/>
                        <w:sz w:val="18"/>
                        <w:szCs w:val="18"/>
                        <w:lang w:val="en-US"/>
                      </w:rPr>
                      <w:fldChar w:fldCharType="separate"/>
                    </w:r>
                    <w:r>
                      <w:rPr>
                        <w:b/>
                        <w:bCs/>
                        <w:sz w:val="18"/>
                        <w:szCs w:val="18"/>
                        <w:lang w:val="en-US"/>
                      </w:rPr>
                      <w:t>1</w:t>
                    </w:r>
                    <w:r w:rsidRPr="007B461C">
                      <w:rPr>
                        <w:sz w:val="18"/>
                        <w:szCs w:val="18"/>
                      </w:rPr>
                      <w:fldChar w:fldCharType="end"/>
                    </w:r>
                    <w:r w:rsidRPr="007B461C">
                      <w:rPr>
                        <w:sz w:val="18"/>
                        <w:szCs w:val="18"/>
                        <w:lang w:val="en-US"/>
                      </w:rPr>
                      <w:t xml:space="preserve"> of </w:t>
                    </w:r>
                    <w:r w:rsidRPr="007B461C">
                      <w:rPr>
                        <w:b/>
                        <w:bCs/>
                        <w:sz w:val="18"/>
                        <w:szCs w:val="18"/>
                        <w:lang w:val="en-US"/>
                      </w:rPr>
                      <w:fldChar w:fldCharType="begin"/>
                    </w:r>
                    <w:r w:rsidRPr="007B461C">
                      <w:rPr>
                        <w:b/>
                        <w:bCs/>
                        <w:sz w:val="18"/>
                        <w:szCs w:val="18"/>
                        <w:lang w:val="en-US"/>
                      </w:rPr>
                      <w:instrText xml:space="preserve"> NUMPAGES  </w:instrText>
                    </w:r>
                    <w:r w:rsidRPr="007B461C">
                      <w:rPr>
                        <w:b/>
                        <w:bCs/>
                        <w:sz w:val="18"/>
                        <w:szCs w:val="18"/>
                        <w:lang w:val="en-US"/>
                      </w:rPr>
                      <w:fldChar w:fldCharType="separate"/>
                    </w:r>
                    <w:r>
                      <w:rPr>
                        <w:b/>
                        <w:bCs/>
                        <w:sz w:val="18"/>
                        <w:szCs w:val="18"/>
                        <w:lang w:val="en-US"/>
                      </w:rPr>
                      <w:t>2</w:t>
                    </w:r>
                    <w:r w:rsidRPr="007B461C">
                      <w:rPr>
                        <w:sz w:val="18"/>
                        <w:szCs w:val="18"/>
                      </w:rPr>
                      <w:fldChar w:fldCharType="end"/>
                    </w:r>
                  </w:sdtContent>
                </w:sdt>
              </w:sdtContent>
            </w:sdt>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6D361" w14:textId="77777777" w:rsidR="007A7750" w:rsidRPr="007B461C" w:rsidRDefault="00000000" w:rsidP="007B461C">
    <w:pPr>
      <w:pStyle w:val="Footer"/>
      <w:tabs>
        <w:tab w:val="left" w:pos="1110"/>
      </w:tabs>
      <w:rPr>
        <w:sz w:val="18"/>
        <w:szCs w:val="18"/>
        <w:lang w:val="en-US"/>
      </w:rPr>
    </w:pPr>
    <w:sdt>
      <w:sdtPr>
        <w:rPr>
          <w:sz w:val="18"/>
          <w:szCs w:val="18"/>
          <w:lang w:val="en-US"/>
        </w:rPr>
        <w:id w:val="-668328497"/>
        <w:docPartObj>
          <w:docPartGallery w:val="Page Numbers (Bottom of Page)"/>
          <w:docPartUnique/>
        </w:docPartObj>
      </w:sdtPr>
      <w:sdtContent>
        <w:sdt>
          <w:sdtPr>
            <w:rPr>
              <w:sz w:val="18"/>
              <w:szCs w:val="18"/>
              <w:lang w:val="en-US"/>
            </w:rPr>
            <w:id w:val="-302083398"/>
            <w:docPartObj>
              <w:docPartGallery w:val="Page Numbers (Top of Page)"/>
              <w:docPartUnique/>
            </w:docPartObj>
          </w:sdtPr>
          <w:sdtContent>
            <w:r w:rsidR="007B461C" w:rsidRPr="007B461C">
              <w:rPr>
                <w:b/>
                <w:bCs/>
                <w:sz w:val="18"/>
                <w:szCs w:val="18"/>
                <w:lang w:val="en-US"/>
              </w:rPr>
              <w:t>Lung Health Helpline 1800 654 301</w:t>
            </w:r>
            <w:r w:rsidR="007B461C" w:rsidRPr="007B461C">
              <w:rPr>
                <w:sz w:val="18"/>
                <w:szCs w:val="18"/>
                <w:lang w:val="en-US"/>
              </w:rPr>
              <w:t xml:space="preserve"> </w:t>
            </w:r>
            <w:r w:rsidR="007B461C" w:rsidRPr="007B461C">
              <w:rPr>
                <w:b/>
                <w:bCs/>
                <w:sz w:val="18"/>
                <w:szCs w:val="18"/>
                <w:lang w:val="en-US"/>
              </w:rPr>
              <w:t>|</w:t>
            </w:r>
            <w:r w:rsidR="007B461C" w:rsidRPr="007B461C">
              <w:rPr>
                <w:sz w:val="18"/>
                <w:szCs w:val="18"/>
                <w:lang w:val="en-US"/>
              </w:rPr>
              <w:t xml:space="preserve"> lungfoundation.com.au</w:t>
            </w:r>
            <w:r w:rsidR="007B461C">
              <w:rPr>
                <w:sz w:val="18"/>
                <w:szCs w:val="18"/>
                <w:lang w:val="en-US"/>
              </w:rPr>
              <w:t xml:space="preserve"> </w:t>
            </w:r>
            <w:r w:rsidR="007B461C">
              <w:rPr>
                <w:sz w:val="18"/>
                <w:szCs w:val="18"/>
                <w:lang w:val="en-US"/>
              </w:rPr>
              <w:tab/>
            </w:r>
            <w:r w:rsidR="007B461C">
              <w:rPr>
                <w:rFonts w:cs="ConcordW00-Light"/>
                <w:sz w:val="18"/>
                <w:szCs w:val="18"/>
              </w:rPr>
              <w:tab/>
            </w:r>
            <w:r w:rsidR="007B461C">
              <w:rPr>
                <w:sz w:val="18"/>
                <w:szCs w:val="18"/>
                <w:lang w:val="en-US"/>
              </w:rPr>
              <w:t>P</w:t>
            </w:r>
            <w:r w:rsidR="007B461C" w:rsidRPr="007B461C">
              <w:rPr>
                <w:sz w:val="18"/>
                <w:szCs w:val="18"/>
                <w:lang w:val="en-US"/>
              </w:rPr>
              <w:t xml:space="preserve">age </w:t>
            </w:r>
            <w:r w:rsidR="007B461C" w:rsidRPr="007B461C">
              <w:rPr>
                <w:b/>
                <w:bCs/>
                <w:sz w:val="18"/>
                <w:szCs w:val="18"/>
                <w:lang w:val="en-US"/>
              </w:rPr>
              <w:fldChar w:fldCharType="begin"/>
            </w:r>
            <w:r w:rsidR="007B461C" w:rsidRPr="007B461C">
              <w:rPr>
                <w:b/>
                <w:bCs/>
                <w:sz w:val="18"/>
                <w:szCs w:val="18"/>
                <w:lang w:val="en-US"/>
              </w:rPr>
              <w:instrText xml:space="preserve"> PAGE </w:instrText>
            </w:r>
            <w:r w:rsidR="007B461C" w:rsidRPr="007B461C">
              <w:rPr>
                <w:b/>
                <w:bCs/>
                <w:sz w:val="18"/>
                <w:szCs w:val="18"/>
                <w:lang w:val="en-US"/>
              </w:rPr>
              <w:fldChar w:fldCharType="separate"/>
            </w:r>
            <w:r w:rsidR="007B461C" w:rsidRPr="007B461C">
              <w:rPr>
                <w:b/>
                <w:bCs/>
                <w:sz w:val="18"/>
                <w:szCs w:val="18"/>
                <w:lang w:val="en-US"/>
              </w:rPr>
              <w:t>1</w:t>
            </w:r>
            <w:r w:rsidR="007B461C" w:rsidRPr="007B461C">
              <w:rPr>
                <w:sz w:val="18"/>
                <w:szCs w:val="18"/>
              </w:rPr>
              <w:fldChar w:fldCharType="end"/>
            </w:r>
            <w:r w:rsidR="007B461C" w:rsidRPr="007B461C">
              <w:rPr>
                <w:sz w:val="18"/>
                <w:szCs w:val="18"/>
                <w:lang w:val="en-US"/>
              </w:rPr>
              <w:t xml:space="preserve"> of </w:t>
            </w:r>
            <w:r w:rsidR="007B461C" w:rsidRPr="007B461C">
              <w:rPr>
                <w:b/>
                <w:bCs/>
                <w:sz w:val="18"/>
                <w:szCs w:val="18"/>
                <w:lang w:val="en-US"/>
              </w:rPr>
              <w:fldChar w:fldCharType="begin"/>
            </w:r>
            <w:r w:rsidR="007B461C" w:rsidRPr="007B461C">
              <w:rPr>
                <w:b/>
                <w:bCs/>
                <w:sz w:val="18"/>
                <w:szCs w:val="18"/>
                <w:lang w:val="en-US"/>
              </w:rPr>
              <w:instrText xml:space="preserve"> NUMPAGES  </w:instrText>
            </w:r>
            <w:r w:rsidR="007B461C" w:rsidRPr="007B461C">
              <w:rPr>
                <w:b/>
                <w:bCs/>
                <w:sz w:val="18"/>
                <w:szCs w:val="18"/>
                <w:lang w:val="en-US"/>
              </w:rPr>
              <w:fldChar w:fldCharType="separate"/>
            </w:r>
            <w:r w:rsidR="007B461C" w:rsidRPr="007B461C">
              <w:rPr>
                <w:b/>
                <w:bCs/>
                <w:sz w:val="18"/>
                <w:szCs w:val="18"/>
                <w:lang w:val="en-US"/>
              </w:rPr>
              <w:t>2</w:t>
            </w:r>
            <w:r w:rsidR="007B461C" w:rsidRPr="007B461C">
              <w:rPr>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32480" w14:textId="77777777" w:rsidR="00384AEC" w:rsidRDefault="00384AEC" w:rsidP="00A535C5">
      <w:pPr>
        <w:spacing w:after="0" w:line="240" w:lineRule="auto"/>
      </w:pPr>
      <w:r>
        <w:separator/>
      </w:r>
    </w:p>
  </w:footnote>
  <w:footnote w:type="continuationSeparator" w:id="0">
    <w:p w14:paraId="27359522" w14:textId="77777777" w:rsidR="00384AEC" w:rsidRDefault="00384AEC" w:rsidP="00A535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0F25A" w14:textId="77777777" w:rsidR="00B603D2" w:rsidRDefault="00BF5248">
    <w:pPr>
      <w:pStyle w:val="Header"/>
    </w:pPr>
    <w:r>
      <w:rPr>
        <w:noProof/>
      </w:rPr>
      <w:drawing>
        <wp:anchor distT="0" distB="0" distL="114300" distR="114300" simplePos="0" relativeHeight="251667456" behindDoc="1" locked="0" layoutInCell="1" allowOverlap="1" wp14:anchorId="05A09E2E" wp14:editId="30F200CD">
          <wp:simplePos x="0" y="0"/>
          <wp:positionH relativeFrom="column">
            <wp:posOffset>4690201</wp:posOffset>
          </wp:positionH>
          <wp:positionV relativeFrom="paragraph">
            <wp:posOffset>-233045</wp:posOffset>
          </wp:positionV>
          <wp:extent cx="1968500" cy="609600"/>
          <wp:effectExtent l="0" t="0" r="0" b="0"/>
          <wp:wrapTight wrapText="bothSides">
            <wp:wrapPolygon edited="0">
              <wp:start x="2090" y="0"/>
              <wp:lineTo x="0" y="8775"/>
              <wp:lineTo x="0" y="18225"/>
              <wp:lineTo x="418" y="20925"/>
              <wp:lineTo x="17350" y="20925"/>
              <wp:lineTo x="21321" y="14175"/>
              <wp:lineTo x="21321" y="675"/>
              <wp:lineTo x="7734" y="0"/>
              <wp:lineTo x="2090" y="0"/>
            </wp:wrapPolygon>
          </wp:wrapTight>
          <wp:docPr id="4" name="Picture 4"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sign&#10;&#10;Description automatically generated"/>
                  <pic:cNvPicPr/>
                </pic:nvPicPr>
                <pic:blipFill>
                  <a:blip r:embed="rId1"/>
                  <a:stretch>
                    <a:fillRect/>
                  </a:stretch>
                </pic:blipFill>
                <pic:spPr>
                  <a:xfrm>
                    <a:off x="0" y="0"/>
                    <a:ext cx="1968500" cy="609600"/>
                  </a:xfrm>
                  <a:prstGeom prst="rect">
                    <a:avLst/>
                  </a:prstGeom>
                </pic:spPr>
              </pic:pic>
            </a:graphicData>
          </a:graphic>
          <wp14:sizeRelH relativeFrom="page">
            <wp14:pctWidth>0</wp14:pctWidth>
          </wp14:sizeRelH>
          <wp14:sizeRelV relativeFrom="page">
            <wp14:pctHeight>0</wp14:pctHeight>
          </wp14:sizeRelV>
        </wp:anchor>
      </w:drawing>
    </w:r>
    <w:r w:rsidR="00B603D2">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00AD6"/>
    <w:multiLevelType w:val="hybridMultilevel"/>
    <w:tmpl w:val="D2407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72B59EF"/>
    <w:multiLevelType w:val="hybridMultilevel"/>
    <w:tmpl w:val="FB800A0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31622C11"/>
    <w:multiLevelType w:val="multilevel"/>
    <w:tmpl w:val="8C286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6F542E"/>
    <w:multiLevelType w:val="hybridMultilevel"/>
    <w:tmpl w:val="43FC6D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E037CC3"/>
    <w:multiLevelType w:val="hybridMultilevel"/>
    <w:tmpl w:val="4CAA7B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A2F77B0"/>
    <w:multiLevelType w:val="hybridMultilevel"/>
    <w:tmpl w:val="E03886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FB434F2"/>
    <w:multiLevelType w:val="hybridMultilevel"/>
    <w:tmpl w:val="8534BB1A"/>
    <w:lvl w:ilvl="0" w:tplc="4628D11C">
      <w:start w:val="1"/>
      <w:numFmt w:val="bullet"/>
      <w:pStyle w:val="NoSpacing"/>
      <w:lvlText w:val=""/>
      <w:lvlJc w:val="left"/>
      <w:pPr>
        <w:ind w:left="720" w:hanging="360"/>
      </w:pPr>
      <w:rPr>
        <w:rFonts w:ascii="Symbol" w:hAnsi="Symbol" w:hint="default"/>
        <w:color w:val="6DBE4A" w:themeColor="accent3"/>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FA84E00"/>
    <w:multiLevelType w:val="multilevel"/>
    <w:tmpl w:val="33883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AB0323"/>
    <w:multiLevelType w:val="hybridMultilevel"/>
    <w:tmpl w:val="2F0672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8EC4E25"/>
    <w:multiLevelType w:val="hybridMultilevel"/>
    <w:tmpl w:val="443886EC"/>
    <w:lvl w:ilvl="0" w:tplc="A24CC7EC">
      <w:start w:val="1"/>
      <w:numFmt w:val="bullet"/>
      <w:lvlText w:val="•"/>
      <w:lvlJc w:val="left"/>
      <w:pPr>
        <w:ind w:left="504" w:hanging="288"/>
      </w:pPr>
    </w:lvl>
    <w:lvl w:ilvl="1" w:tplc="20604CEC">
      <w:numFmt w:val="decimal"/>
      <w:lvlText w:val=""/>
      <w:lvlJc w:val="left"/>
    </w:lvl>
    <w:lvl w:ilvl="2" w:tplc="59381CC6">
      <w:numFmt w:val="decimal"/>
      <w:lvlText w:val=""/>
      <w:lvlJc w:val="left"/>
    </w:lvl>
    <w:lvl w:ilvl="3" w:tplc="34144BC6">
      <w:numFmt w:val="decimal"/>
      <w:lvlText w:val=""/>
      <w:lvlJc w:val="left"/>
    </w:lvl>
    <w:lvl w:ilvl="4" w:tplc="77D83BFA">
      <w:numFmt w:val="decimal"/>
      <w:lvlText w:val=""/>
      <w:lvlJc w:val="left"/>
    </w:lvl>
    <w:lvl w:ilvl="5" w:tplc="620E22A8">
      <w:numFmt w:val="decimal"/>
      <w:lvlText w:val=""/>
      <w:lvlJc w:val="left"/>
    </w:lvl>
    <w:lvl w:ilvl="6" w:tplc="FB463C2A">
      <w:numFmt w:val="decimal"/>
      <w:lvlText w:val=""/>
      <w:lvlJc w:val="left"/>
    </w:lvl>
    <w:lvl w:ilvl="7" w:tplc="760038EA">
      <w:numFmt w:val="decimal"/>
      <w:lvlText w:val=""/>
      <w:lvlJc w:val="left"/>
    </w:lvl>
    <w:lvl w:ilvl="8" w:tplc="F7DE9D68">
      <w:numFmt w:val="decimal"/>
      <w:lvlText w:val=""/>
      <w:lvlJc w:val="left"/>
    </w:lvl>
  </w:abstractNum>
  <w:abstractNum w:abstractNumId="10" w15:restartNumberingAfterBreak="0">
    <w:nsid w:val="7B33294B"/>
    <w:multiLevelType w:val="multilevel"/>
    <w:tmpl w:val="D2745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8700482">
    <w:abstractNumId w:val="6"/>
  </w:num>
  <w:num w:numId="2" w16cid:durableId="511185065">
    <w:abstractNumId w:val="3"/>
  </w:num>
  <w:num w:numId="3" w16cid:durableId="872308223">
    <w:abstractNumId w:val="9"/>
    <w:lvlOverride w:ilvl="0">
      <w:startOverride w:val="1"/>
    </w:lvlOverride>
  </w:num>
  <w:num w:numId="4" w16cid:durableId="276058824">
    <w:abstractNumId w:val="8"/>
  </w:num>
  <w:num w:numId="5" w16cid:durableId="1773040587">
    <w:abstractNumId w:val="0"/>
  </w:num>
  <w:num w:numId="6" w16cid:durableId="1355381675">
    <w:abstractNumId w:val="2"/>
  </w:num>
  <w:num w:numId="7" w16cid:durableId="1151092196">
    <w:abstractNumId w:val="7"/>
  </w:num>
  <w:num w:numId="8" w16cid:durableId="667753157">
    <w:abstractNumId w:val="10"/>
  </w:num>
  <w:num w:numId="9" w16cid:durableId="1650404438">
    <w:abstractNumId w:val="1"/>
  </w:num>
  <w:num w:numId="10" w16cid:durableId="1813135943">
    <w:abstractNumId w:val="4"/>
  </w:num>
  <w:num w:numId="11" w16cid:durableId="17260265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2DA"/>
    <w:rsid w:val="00005B94"/>
    <w:rsid w:val="00070110"/>
    <w:rsid w:val="0007765B"/>
    <w:rsid w:val="00092FA5"/>
    <w:rsid w:val="000A0212"/>
    <w:rsid w:val="000B2951"/>
    <w:rsid w:val="000B49B8"/>
    <w:rsid w:val="000C3EE5"/>
    <w:rsid w:val="000C5C01"/>
    <w:rsid w:val="001005A3"/>
    <w:rsid w:val="00105E0D"/>
    <w:rsid w:val="0012019E"/>
    <w:rsid w:val="001347F0"/>
    <w:rsid w:val="00152701"/>
    <w:rsid w:val="00183CEA"/>
    <w:rsid w:val="001B090D"/>
    <w:rsid w:val="001B1418"/>
    <w:rsid w:val="001F6FAE"/>
    <w:rsid w:val="0021393A"/>
    <w:rsid w:val="00220315"/>
    <w:rsid w:val="00220E22"/>
    <w:rsid w:val="00222407"/>
    <w:rsid w:val="0023668D"/>
    <w:rsid w:val="002430CF"/>
    <w:rsid w:val="002562DA"/>
    <w:rsid w:val="00263E62"/>
    <w:rsid w:val="00265ADA"/>
    <w:rsid w:val="002829CD"/>
    <w:rsid w:val="002B3D86"/>
    <w:rsid w:val="002C1C71"/>
    <w:rsid w:val="002E3967"/>
    <w:rsid w:val="00354D54"/>
    <w:rsid w:val="00355B6B"/>
    <w:rsid w:val="0036695A"/>
    <w:rsid w:val="00384AEC"/>
    <w:rsid w:val="003C22E9"/>
    <w:rsid w:val="003C4018"/>
    <w:rsid w:val="003C51C6"/>
    <w:rsid w:val="003E03FE"/>
    <w:rsid w:val="004175D8"/>
    <w:rsid w:val="00432331"/>
    <w:rsid w:val="004441B8"/>
    <w:rsid w:val="004F5DB3"/>
    <w:rsid w:val="00520476"/>
    <w:rsid w:val="005513D0"/>
    <w:rsid w:val="00557B13"/>
    <w:rsid w:val="00592D1F"/>
    <w:rsid w:val="005A28D4"/>
    <w:rsid w:val="005A3089"/>
    <w:rsid w:val="005C782C"/>
    <w:rsid w:val="005D050C"/>
    <w:rsid w:val="006258CA"/>
    <w:rsid w:val="0069401A"/>
    <w:rsid w:val="006B173C"/>
    <w:rsid w:val="006C1233"/>
    <w:rsid w:val="006C76A0"/>
    <w:rsid w:val="006D66AF"/>
    <w:rsid w:val="006D75D6"/>
    <w:rsid w:val="006E4736"/>
    <w:rsid w:val="006F0FFC"/>
    <w:rsid w:val="006F17AA"/>
    <w:rsid w:val="007040C9"/>
    <w:rsid w:val="0071762E"/>
    <w:rsid w:val="00722774"/>
    <w:rsid w:val="007760C1"/>
    <w:rsid w:val="00795488"/>
    <w:rsid w:val="007A7750"/>
    <w:rsid w:val="007B0744"/>
    <w:rsid w:val="007B461C"/>
    <w:rsid w:val="007B4891"/>
    <w:rsid w:val="007E54A4"/>
    <w:rsid w:val="007F27B3"/>
    <w:rsid w:val="0080003F"/>
    <w:rsid w:val="0080025D"/>
    <w:rsid w:val="00814E9F"/>
    <w:rsid w:val="008244B8"/>
    <w:rsid w:val="00860D46"/>
    <w:rsid w:val="008A28A7"/>
    <w:rsid w:val="008B1505"/>
    <w:rsid w:val="008B46F8"/>
    <w:rsid w:val="008B6FBA"/>
    <w:rsid w:val="008C1C9A"/>
    <w:rsid w:val="008E0BA9"/>
    <w:rsid w:val="008F43FF"/>
    <w:rsid w:val="008F6FF5"/>
    <w:rsid w:val="00905B9E"/>
    <w:rsid w:val="00910160"/>
    <w:rsid w:val="00910837"/>
    <w:rsid w:val="009113CF"/>
    <w:rsid w:val="0093126E"/>
    <w:rsid w:val="00955821"/>
    <w:rsid w:val="00972BB6"/>
    <w:rsid w:val="0099588A"/>
    <w:rsid w:val="009A6EB2"/>
    <w:rsid w:val="009D6143"/>
    <w:rsid w:val="009E72CB"/>
    <w:rsid w:val="00A2751B"/>
    <w:rsid w:val="00A357A3"/>
    <w:rsid w:val="00A535C5"/>
    <w:rsid w:val="00A6155C"/>
    <w:rsid w:val="00A6411A"/>
    <w:rsid w:val="00A87E99"/>
    <w:rsid w:val="00AB29E0"/>
    <w:rsid w:val="00AD610A"/>
    <w:rsid w:val="00AE048B"/>
    <w:rsid w:val="00B17D74"/>
    <w:rsid w:val="00B603D2"/>
    <w:rsid w:val="00B66B6F"/>
    <w:rsid w:val="00B76A52"/>
    <w:rsid w:val="00B90CA6"/>
    <w:rsid w:val="00BA45E9"/>
    <w:rsid w:val="00BF512A"/>
    <w:rsid w:val="00BF5248"/>
    <w:rsid w:val="00BF6968"/>
    <w:rsid w:val="00C211F5"/>
    <w:rsid w:val="00C2287A"/>
    <w:rsid w:val="00C3167B"/>
    <w:rsid w:val="00C3386D"/>
    <w:rsid w:val="00C6237E"/>
    <w:rsid w:val="00C8703D"/>
    <w:rsid w:val="00C93F8C"/>
    <w:rsid w:val="00CE109F"/>
    <w:rsid w:val="00CF431D"/>
    <w:rsid w:val="00D3438F"/>
    <w:rsid w:val="00D60017"/>
    <w:rsid w:val="00D7009B"/>
    <w:rsid w:val="00D75BCE"/>
    <w:rsid w:val="00DA34E4"/>
    <w:rsid w:val="00DD13DC"/>
    <w:rsid w:val="00E0265F"/>
    <w:rsid w:val="00E5131D"/>
    <w:rsid w:val="00E674BE"/>
    <w:rsid w:val="00E75504"/>
    <w:rsid w:val="00E77D99"/>
    <w:rsid w:val="00EA7F63"/>
    <w:rsid w:val="00EB2FC0"/>
    <w:rsid w:val="00EB5110"/>
    <w:rsid w:val="00EF0676"/>
    <w:rsid w:val="00F13C9F"/>
    <w:rsid w:val="00FC087A"/>
    <w:rsid w:val="00FC5BE2"/>
    <w:rsid w:val="00FD517E"/>
  </w:rsids>
  <m:mathPr>
    <m:mathFont m:val="Cambria Math"/>
    <m:brkBin m:val="before"/>
    <m:brkBinSub m:val="--"/>
    <m:smallFrac m:val="0"/>
    <m:dispDef/>
    <m:lMargin m:val="0"/>
    <m:rMargin m:val="0"/>
    <m:defJc m:val="centerGroup"/>
    <m:wrapIndent m:val="1440"/>
    <m:intLim m:val="subSup"/>
    <m:naryLim m:val="undOvr"/>
  </m:mathPr>
  <w:themeFontLang w:val="en-NZ"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5B39C1"/>
  <w15:docId w15:val="{D62A8A6D-3E6A-4B6A-A5D6-C27F18FFC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E62"/>
    <w:pPr>
      <w:spacing w:before="200" w:after="200" w:line="276" w:lineRule="auto"/>
    </w:pPr>
    <w:rPr>
      <w:rFonts w:ascii="Century Gothic" w:hAnsi="Century Gothic"/>
      <w:sz w:val="20"/>
    </w:rPr>
  </w:style>
  <w:style w:type="paragraph" w:styleId="Heading1">
    <w:name w:val="heading 1"/>
    <w:aliases w:val="LFA Main Heading"/>
    <w:basedOn w:val="Normal"/>
    <w:next w:val="Normal"/>
    <w:link w:val="Heading1Char"/>
    <w:autoRedefine/>
    <w:uiPriority w:val="9"/>
    <w:qFormat/>
    <w:rsid w:val="0071762E"/>
    <w:pPr>
      <w:keepNext/>
      <w:keepLines/>
      <w:spacing w:before="240" w:after="120"/>
      <w:outlineLvl w:val="0"/>
    </w:pPr>
    <w:rPr>
      <w:rFonts w:eastAsiaTheme="majorEastAsia" w:cstheme="majorBidi"/>
      <w:b/>
      <w:color w:val="15873E"/>
      <w:sz w:val="36"/>
      <w:szCs w:val="32"/>
    </w:rPr>
  </w:style>
  <w:style w:type="paragraph" w:styleId="Heading2">
    <w:name w:val="heading 2"/>
    <w:aliases w:val="LFA Sub Heading 1"/>
    <w:basedOn w:val="Normal"/>
    <w:next w:val="Normal"/>
    <w:link w:val="Heading2Char"/>
    <w:autoRedefine/>
    <w:uiPriority w:val="9"/>
    <w:unhideWhenUsed/>
    <w:qFormat/>
    <w:rsid w:val="0071762E"/>
    <w:pPr>
      <w:keepNext/>
      <w:keepLines/>
      <w:spacing w:before="120" w:after="120"/>
      <w:outlineLvl w:val="1"/>
    </w:pPr>
    <w:rPr>
      <w:rFonts w:eastAsiaTheme="majorEastAsia" w:cstheme="majorBidi"/>
      <w:color w:val="15873E"/>
      <w:sz w:val="28"/>
      <w:szCs w:val="26"/>
    </w:rPr>
  </w:style>
  <w:style w:type="paragraph" w:styleId="Heading3">
    <w:name w:val="heading 3"/>
    <w:aliases w:val="LFA Sub heading 2"/>
    <w:basedOn w:val="Normal"/>
    <w:next w:val="Normal"/>
    <w:link w:val="Heading3Char"/>
    <w:uiPriority w:val="9"/>
    <w:unhideWhenUsed/>
    <w:qFormat/>
    <w:rsid w:val="00263E62"/>
    <w:pPr>
      <w:keepNext/>
      <w:keepLines/>
      <w:spacing w:before="120" w:after="120"/>
      <w:outlineLvl w:val="2"/>
    </w:pPr>
    <w:rPr>
      <w:rFonts w:eastAsiaTheme="majorEastAsia" w:cstheme="majorBidi"/>
      <w:b/>
      <w:sz w:val="28"/>
      <w:szCs w:val="24"/>
    </w:rPr>
  </w:style>
  <w:style w:type="paragraph" w:styleId="Heading4">
    <w:name w:val="heading 4"/>
    <w:aliases w:val="LFA Heading 4"/>
    <w:basedOn w:val="Normal"/>
    <w:next w:val="Normal"/>
    <w:link w:val="Heading4Char"/>
    <w:uiPriority w:val="9"/>
    <w:unhideWhenUsed/>
    <w:rsid w:val="00F13C9F"/>
    <w:pPr>
      <w:keepNext/>
      <w:keepLines/>
      <w:spacing w:before="40" w:after="0"/>
      <w:outlineLvl w:val="3"/>
    </w:pPr>
    <w:rPr>
      <w:rFonts w:eastAsiaTheme="majorEastAsia" w:cstheme="majorBidi"/>
      <w:i/>
      <w:iCs/>
      <w:color w:val="0F682F" w:themeColor="accent1" w:themeShade="BF"/>
    </w:rPr>
  </w:style>
  <w:style w:type="paragraph" w:styleId="Heading5">
    <w:name w:val="heading 5"/>
    <w:aliases w:val="LFA Heading 5"/>
    <w:basedOn w:val="Normal"/>
    <w:next w:val="Normal"/>
    <w:link w:val="Heading5Char"/>
    <w:uiPriority w:val="9"/>
    <w:unhideWhenUsed/>
    <w:rsid w:val="00F13C9F"/>
    <w:pPr>
      <w:keepNext/>
      <w:keepLines/>
      <w:spacing w:before="40" w:after="0"/>
      <w:outlineLvl w:val="4"/>
    </w:pPr>
    <w:rPr>
      <w:rFonts w:eastAsiaTheme="majorEastAsia" w:cstheme="majorBidi"/>
      <w:color w:val="0F682F" w:themeColor="accent1" w:themeShade="BF"/>
    </w:rPr>
  </w:style>
  <w:style w:type="paragraph" w:styleId="Heading6">
    <w:name w:val="heading 6"/>
    <w:aliases w:val="LFA Heading 6"/>
    <w:basedOn w:val="Normal"/>
    <w:next w:val="Normal"/>
    <w:link w:val="Heading6Char"/>
    <w:uiPriority w:val="9"/>
    <w:unhideWhenUsed/>
    <w:rsid w:val="00F13C9F"/>
    <w:pPr>
      <w:keepNext/>
      <w:keepLines/>
      <w:spacing w:before="40" w:after="0"/>
      <w:outlineLvl w:val="5"/>
    </w:pPr>
    <w:rPr>
      <w:rFonts w:asciiTheme="majorHAnsi" w:eastAsiaTheme="majorEastAsia" w:hAnsiTheme="majorHAnsi" w:cstheme="majorBidi"/>
      <w:color w:val="0A451F" w:themeColor="accent1" w:themeShade="7F"/>
    </w:rPr>
  </w:style>
  <w:style w:type="paragraph" w:styleId="Heading7">
    <w:name w:val="heading 7"/>
    <w:aliases w:val="LFA Heading 7"/>
    <w:basedOn w:val="Normal"/>
    <w:next w:val="Normal"/>
    <w:link w:val="Heading7Char"/>
    <w:uiPriority w:val="9"/>
    <w:unhideWhenUsed/>
    <w:rsid w:val="00F13C9F"/>
    <w:pPr>
      <w:keepNext/>
      <w:keepLines/>
      <w:spacing w:before="40" w:after="0"/>
      <w:outlineLvl w:val="6"/>
    </w:pPr>
    <w:rPr>
      <w:rFonts w:asciiTheme="majorHAnsi" w:eastAsiaTheme="majorEastAsia" w:hAnsiTheme="majorHAnsi" w:cstheme="majorBidi"/>
      <w:i/>
      <w:iCs/>
      <w:color w:val="0A451F" w:themeColor="accent1" w:themeShade="7F"/>
    </w:rPr>
  </w:style>
  <w:style w:type="paragraph" w:styleId="Heading8">
    <w:name w:val="heading 8"/>
    <w:aliases w:val="LFA Heading 8"/>
    <w:basedOn w:val="Normal"/>
    <w:next w:val="Normal"/>
    <w:link w:val="Heading8Char"/>
    <w:uiPriority w:val="9"/>
    <w:unhideWhenUsed/>
    <w:rsid w:val="00F13C9F"/>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rsid w:val="007E54A4"/>
    <w:pPr>
      <w:keepNext/>
      <w:keepLines/>
      <w:spacing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FA Main Heading Char"/>
    <w:basedOn w:val="DefaultParagraphFont"/>
    <w:link w:val="Heading1"/>
    <w:uiPriority w:val="9"/>
    <w:rsid w:val="0071762E"/>
    <w:rPr>
      <w:rFonts w:ascii="Century Gothic" w:eastAsiaTheme="majorEastAsia" w:hAnsi="Century Gothic" w:cstheme="majorBidi"/>
      <w:b/>
      <w:color w:val="15873E"/>
      <w:sz w:val="36"/>
      <w:szCs w:val="32"/>
    </w:rPr>
  </w:style>
  <w:style w:type="paragraph" w:styleId="NoSpacing">
    <w:name w:val="No Spacing"/>
    <w:aliases w:val="Bullet list"/>
    <w:next w:val="Normal"/>
    <w:autoRedefine/>
    <w:uiPriority w:val="1"/>
    <w:qFormat/>
    <w:rsid w:val="00263E62"/>
    <w:pPr>
      <w:numPr>
        <w:numId w:val="1"/>
      </w:numPr>
      <w:tabs>
        <w:tab w:val="num" w:pos="360"/>
      </w:tabs>
      <w:spacing w:before="80" w:after="80" w:line="276" w:lineRule="auto"/>
      <w:ind w:left="584" w:hanging="357"/>
    </w:pPr>
    <w:rPr>
      <w:rFonts w:ascii="Century Gothic" w:hAnsi="Century Gothic"/>
      <w:sz w:val="20"/>
    </w:rPr>
  </w:style>
  <w:style w:type="character" w:customStyle="1" w:styleId="Heading2Char">
    <w:name w:val="Heading 2 Char"/>
    <w:aliases w:val="LFA Sub Heading 1 Char"/>
    <w:basedOn w:val="DefaultParagraphFont"/>
    <w:link w:val="Heading2"/>
    <w:uiPriority w:val="9"/>
    <w:rsid w:val="0071762E"/>
    <w:rPr>
      <w:rFonts w:ascii="Century Gothic" w:eastAsiaTheme="majorEastAsia" w:hAnsi="Century Gothic" w:cstheme="majorBidi"/>
      <w:color w:val="15873E"/>
      <w:sz w:val="28"/>
      <w:szCs w:val="26"/>
    </w:rPr>
  </w:style>
  <w:style w:type="character" w:styleId="Emphasis">
    <w:name w:val="Emphasis"/>
    <w:basedOn w:val="DefaultParagraphFont"/>
    <w:uiPriority w:val="20"/>
    <w:qFormat/>
    <w:rsid w:val="00C211F5"/>
    <w:rPr>
      <w:rFonts w:ascii="Century Gothic" w:hAnsi="Century Gothic"/>
      <w:i/>
      <w:iCs/>
    </w:rPr>
  </w:style>
  <w:style w:type="character" w:styleId="Strong">
    <w:name w:val="Strong"/>
    <w:basedOn w:val="DefaultParagraphFont"/>
    <w:uiPriority w:val="22"/>
    <w:rsid w:val="00A535C5"/>
    <w:rPr>
      <w:b/>
      <w:bCs/>
    </w:rPr>
  </w:style>
  <w:style w:type="paragraph" w:styleId="Quote">
    <w:name w:val="Quote"/>
    <w:basedOn w:val="Normal"/>
    <w:next w:val="Normal"/>
    <w:link w:val="QuoteChar"/>
    <w:uiPriority w:val="29"/>
    <w:qFormat/>
    <w:rsid w:val="00A535C5"/>
    <w:pPr>
      <w:ind w:left="864" w:right="864"/>
      <w:jc w:val="center"/>
    </w:pPr>
    <w:rPr>
      <w:i/>
      <w:iCs/>
      <w:color w:val="404040" w:themeColor="text1" w:themeTint="BF"/>
    </w:rPr>
  </w:style>
  <w:style w:type="character" w:customStyle="1" w:styleId="QuoteChar">
    <w:name w:val="Quote Char"/>
    <w:basedOn w:val="DefaultParagraphFont"/>
    <w:link w:val="Quote"/>
    <w:uiPriority w:val="29"/>
    <w:rsid w:val="00A535C5"/>
    <w:rPr>
      <w:i/>
      <w:iCs/>
      <w:color w:val="404040" w:themeColor="text1" w:themeTint="BF"/>
      <w:sz w:val="18"/>
    </w:rPr>
  </w:style>
  <w:style w:type="character" w:customStyle="1" w:styleId="Heading3Char">
    <w:name w:val="Heading 3 Char"/>
    <w:aliases w:val="LFA Sub heading 2 Char"/>
    <w:basedOn w:val="DefaultParagraphFont"/>
    <w:link w:val="Heading3"/>
    <w:uiPriority w:val="9"/>
    <w:rsid w:val="00263E62"/>
    <w:rPr>
      <w:rFonts w:ascii="Century Gothic" w:eastAsiaTheme="majorEastAsia" w:hAnsi="Century Gothic" w:cstheme="majorBidi"/>
      <w:b/>
      <w:sz w:val="28"/>
      <w:szCs w:val="24"/>
    </w:rPr>
  </w:style>
  <w:style w:type="paragraph" w:styleId="Header">
    <w:name w:val="header"/>
    <w:basedOn w:val="Normal"/>
    <w:link w:val="HeaderChar"/>
    <w:uiPriority w:val="99"/>
    <w:unhideWhenUsed/>
    <w:rsid w:val="00A535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35C5"/>
    <w:rPr>
      <w:sz w:val="18"/>
    </w:rPr>
  </w:style>
  <w:style w:type="paragraph" w:styleId="Footer">
    <w:name w:val="footer"/>
    <w:basedOn w:val="Normal"/>
    <w:link w:val="FooterChar"/>
    <w:uiPriority w:val="99"/>
    <w:unhideWhenUsed/>
    <w:rsid w:val="00A535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35C5"/>
    <w:rPr>
      <w:sz w:val="18"/>
    </w:rPr>
  </w:style>
  <w:style w:type="character" w:styleId="Hyperlink">
    <w:name w:val="Hyperlink"/>
    <w:basedOn w:val="DefaultParagraphFont"/>
    <w:uiPriority w:val="99"/>
    <w:unhideWhenUsed/>
    <w:rsid w:val="007A7750"/>
    <w:rPr>
      <w:color w:val="0563C1" w:themeColor="hyperlink"/>
      <w:u w:val="single"/>
    </w:rPr>
  </w:style>
  <w:style w:type="character" w:customStyle="1" w:styleId="UnresolvedMention1">
    <w:name w:val="Unresolved Mention1"/>
    <w:basedOn w:val="DefaultParagraphFont"/>
    <w:uiPriority w:val="99"/>
    <w:semiHidden/>
    <w:unhideWhenUsed/>
    <w:rsid w:val="007A7750"/>
    <w:rPr>
      <w:color w:val="808080"/>
      <w:shd w:val="clear" w:color="auto" w:fill="E6E6E6"/>
    </w:rPr>
  </w:style>
  <w:style w:type="paragraph" w:styleId="IntenseQuote">
    <w:name w:val="Intense Quote"/>
    <w:basedOn w:val="Normal"/>
    <w:next w:val="Normal"/>
    <w:link w:val="IntenseQuoteChar"/>
    <w:autoRedefine/>
    <w:uiPriority w:val="30"/>
    <w:qFormat/>
    <w:rsid w:val="0071762E"/>
    <w:pPr>
      <w:pBdr>
        <w:top w:val="single" w:sz="4" w:space="10" w:color="158C40" w:themeColor="accent1"/>
        <w:bottom w:val="single" w:sz="4" w:space="10" w:color="158C40" w:themeColor="accent1"/>
      </w:pBdr>
      <w:spacing w:before="360" w:after="360"/>
      <w:ind w:left="864" w:right="864"/>
      <w:jc w:val="center"/>
    </w:pPr>
    <w:rPr>
      <w:i/>
      <w:iCs/>
      <w:color w:val="15873E"/>
    </w:rPr>
  </w:style>
  <w:style w:type="character" w:customStyle="1" w:styleId="IntenseQuoteChar">
    <w:name w:val="Intense Quote Char"/>
    <w:basedOn w:val="DefaultParagraphFont"/>
    <w:link w:val="IntenseQuote"/>
    <w:uiPriority w:val="30"/>
    <w:rsid w:val="0071762E"/>
    <w:rPr>
      <w:rFonts w:ascii="Century Gothic" w:hAnsi="Century Gothic"/>
      <w:i/>
      <w:iCs/>
      <w:color w:val="15873E"/>
      <w:sz w:val="20"/>
    </w:rPr>
  </w:style>
  <w:style w:type="character" w:styleId="SubtleReference">
    <w:name w:val="Subtle Reference"/>
    <w:basedOn w:val="DefaultParagraphFont"/>
    <w:uiPriority w:val="31"/>
    <w:qFormat/>
    <w:rsid w:val="00C211F5"/>
    <w:rPr>
      <w:rFonts w:ascii="Century Gothic" w:hAnsi="Century Gothic"/>
      <w:smallCaps/>
      <w:color w:val="5A5A5A" w:themeColor="text1" w:themeTint="A5"/>
    </w:rPr>
  </w:style>
  <w:style w:type="character" w:styleId="IntenseReference">
    <w:name w:val="Intense Reference"/>
    <w:basedOn w:val="DefaultParagraphFont"/>
    <w:uiPriority w:val="32"/>
    <w:qFormat/>
    <w:rsid w:val="0071762E"/>
    <w:rPr>
      <w:rFonts w:ascii="Century Gothic" w:hAnsi="Century Gothic"/>
      <w:b/>
      <w:bCs/>
      <w:smallCaps/>
      <w:color w:val="15873E"/>
      <w:spacing w:val="5"/>
    </w:rPr>
  </w:style>
  <w:style w:type="character" w:styleId="BookTitle">
    <w:name w:val="Book Title"/>
    <w:basedOn w:val="DefaultParagraphFont"/>
    <w:uiPriority w:val="33"/>
    <w:qFormat/>
    <w:rsid w:val="00C211F5"/>
    <w:rPr>
      <w:rFonts w:ascii="Century Gothic" w:hAnsi="Century Gothic"/>
      <w:b/>
      <w:bCs/>
      <w:i/>
      <w:iCs/>
      <w:spacing w:val="5"/>
    </w:rPr>
  </w:style>
  <w:style w:type="paragraph" w:styleId="ListParagraph">
    <w:name w:val="List Paragraph"/>
    <w:basedOn w:val="Normal"/>
    <w:uiPriority w:val="34"/>
    <w:qFormat/>
    <w:rsid w:val="00C211F5"/>
    <w:pPr>
      <w:ind w:left="720"/>
      <w:contextualSpacing/>
    </w:pPr>
  </w:style>
  <w:style w:type="character" w:customStyle="1" w:styleId="Heading4Char">
    <w:name w:val="Heading 4 Char"/>
    <w:aliases w:val="LFA Heading 4 Char"/>
    <w:basedOn w:val="DefaultParagraphFont"/>
    <w:link w:val="Heading4"/>
    <w:uiPriority w:val="9"/>
    <w:rsid w:val="00F13C9F"/>
    <w:rPr>
      <w:rFonts w:ascii="Century Gothic" w:eastAsiaTheme="majorEastAsia" w:hAnsi="Century Gothic" w:cstheme="majorBidi"/>
      <w:i/>
      <w:iCs/>
      <w:color w:val="0F682F" w:themeColor="accent1" w:themeShade="BF"/>
      <w:sz w:val="18"/>
    </w:rPr>
  </w:style>
  <w:style w:type="character" w:customStyle="1" w:styleId="Heading5Char">
    <w:name w:val="Heading 5 Char"/>
    <w:aliases w:val="LFA Heading 5 Char"/>
    <w:basedOn w:val="DefaultParagraphFont"/>
    <w:link w:val="Heading5"/>
    <w:uiPriority w:val="9"/>
    <w:rsid w:val="00F13C9F"/>
    <w:rPr>
      <w:rFonts w:ascii="Century Gothic" w:eastAsiaTheme="majorEastAsia" w:hAnsi="Century Gothic" w:cstheme="majorBidi"/>
      <w:color w:val="0F682F" w:themeColor="accent1" w:themeShade="BF"/>
      <w:sz w:val="18"/>
    </w:rPr>
  </w:style>
  <w:style w:type="character" w:customStyle="1" w:styleId="Heading6Char">
    <w:name w:val="Heading 6 Char"/>
    <w:aliases w:val="LFA Heading 6 Char"/>
    <w:basedOn w:val="DefaultParagraphFont"/>
    <w:link w:val="Heading6"/>
    <w:uiPriority w:val="9"/>
    <w:rsid w:val="00F13C9F"/>
    <w:rPr>
      <w:rFonts w:asciiTheme="majorHAnsi" w:eastAsiaTheme="majorEastAsia" w:hAnsiTheme="majorHAnsi" w:cstheme="majorBidi"/>
      <w:color w:val="0A451F" w:themeColor="accent1" w:themeShade="7F"/>
      <w:sz w:val="18"/>
    </w:rPr>
  </w:style>
  <w:style w:type="character" w:customStyle="1" w:styleId="Heading7Char">
    <w:name w:val="Heading 7 Char"/>
    <w:aliases w:val="LFA Heading 7 Char"/>
    <w:basedOn w:val="DefaultParagraphFont"/>
    <w:link w:val="Heading7"/>
    <w:uiPriority w:val="9"/>
    <w:rsid w:val="00F13C9F"/>
    <w:rPr>
      <w:rFonts w:asciiTheme="majorHAnsi" w:eastAsiaTheme="majorEastAsia" w:hAnsiTheme="majorHAnsi" w:cstheme="majorBidi"/>
      <w:i/>
      <w:iCs/>
      <w:color w:val="0A451F" w:themeColor="accent1" w:themeShade="7F"/>
      <w:sz w:val="18"/>
    </w:rPr>
  </w:style>
  <w:style w:type="character" w:customStyle="1" w:styleId="Heading8Char">
    <w:name w:val="Heading 8 Char"/>
    <w:aliases w:val="LFA Heading 8 Char"/>
    <w:basedOn w:val="DefaultParagraphFont"/>
    <w:link w:val="Heading8"/>
    <w:uiPriority w:val="9"/>
    <w:rsid w:val="00F13C9F"/>
    <w:rPr>
      <w:rFonts w:asciiTheme="majorHAnsi" w:eastAsiaTheme="majorEastAsia" w:hAnsiTheme="majorHAnsi" w:cstheme="majorBidi"/>
      <w:color w:val="272727" w:themeColor="text1" w:themeTint="D8"/>
      <w:sz w:val="21"/>
      <w:szCs w:val="21"/>
    </w:rPr>
  </w:style>
  <w:style w:type="paragraph" w:styleId="NormalWeb">
    <w:name w:val="Normal (Web)"/>
    <w:basedOn w:val="Normal"/>
    <w:uiPriority w:val="99"/>
    <w:semiHidden/>
    <w:unhideWhenUsed/>
    <w:rsid w:val="002E3967"/>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58cl">
    <w:name w:val="_58cl"/>
    <w:basedOn w:val="DefaultParagraphFont"/>
    <w:rsid w:val="002E3967"/>
  </w:style>
  <w:style w:type="character" w:customStyle="1" w:styleId="58cm">
    <w:name w:val="_58cm"/>
    <w:basedOn w:val="DefaultParagraphFont"/>
    <w:rsid w:val="002E3967"/>
  </w:style>
  <w:style w:type="character" w:customStyle="1" w:styleId="Heading9Char">
    <w:name w:val="Heading 9 Char"/>
    <w:basedOn w:val="DefaultParagraphFont"/>
    <w:link w:val="Heading9"/>
    <w:uiPriority w:val="9"/>
    <w:rsid w:val="007E54A4"/>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E77D99"/>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D99"/>
    <w:rPr>
      <w:rFonts w:ascii="Tahoma" w:hAnsi="Tahoma" w:cs="Tahoma"/>
      <w:sz w:val="16"/>
      <w:szCs w:val="16"/>
    </w:rPr>
  </w:style>
  <w:style w:type="table" w:styleId="LightList-Accent3">
    <w:name w:val="Light List Accent 3"/>
    <w:basedOn w:val="TableNormal"/>
    <w:uiPriority w:val="61"/>
    <w:rsid w:val="00C3386D"/>
    <w:pPr>
      <w:spacing w:after="0" w:line="240" w:lineRule="auto"/>
    </w:pPr>
    <w:rPr>
      <w:rFonts w:eastAsiaTheme="minorEastAsia"/>
      <w:lang w:val="en-US" w:eastAsia="ja-JP"/>
    </w:rPr>
    <w:tblPr>
      <w:tblStyleRowBandSize w:val="1"/>
      <w:tblStyleColBandSize w:val="1"/>
      <w:tblBorders>
        <w:top w:val="single" w:sz="8" w:space="0" w:color="6DBE4A" w:themeColor="accent3"/>
        <w:left w:val="single" w:sz="8" w:space="0" w:color="6DBE4A" w:themeColor="accent3"/>
        <w:bottom w:val="single" w:sz="8" w:space="0" w:color="6DBE4A" w:themeColor="accent3"/>
        <w:right w:val="single" w:sz="8" w:space="0" w:color="6DBE4A" w:themeColor="accent3"/>
      </w:tblBorders>
    </w:tblPr>
    <w:tblStylePr w:type="firstRow">
      <w:pPr>
        <w:spacing w:before="0" w:after="0" w:line="240" w:lineRule="auto"/>
      </w:pPr>
      <w:rPr>
        <w:b/>
        <w:bCs/>
        <w:color w:val="FFFFFF" w:themeColor="background1"/>
      </w:rPr>
      <w:tblPr/>
      <w:tcPr>
        <w:shd w:val="clear" w:color="auto" w:fill="6DBE4A" w:themeFill="accent3"/>
      </w:tcPr>
    </w:tblStylePr>
    <w:tblStylePr w:type="lastRow">
      <w:pPr>
        <w:spacing w:before="0" w:after="0" w:line="240" w:lineRule="auto"/>
      </w:pPr>
      <w:rPr>
        <w:b/>
        <w:bCs/>
      </w:rPr>
      <w:tblPr/>
      <w:tcPr>
        <w:tcBorders>
          <w:top w:val="double" w:sz="6" w:space="0" w:color="6DBE4A" w:themeColor="accent3"/>
          <w:left w:val="single" w:sz="8" w:space="0" w:color="6DBE4A" w:themeColor="accent3"/>
          <w:bottom w:val="single" w:sz="8" w:space="0" w:color="6DBE4A" w:themeColor="accent3"/>
          <w:right w:val="single" w:sz="8" w:space="0" w:color="6DBE4A" w:themeColor="accent3"/>
        </w:tcBorders>
      </w:tcPr>
    </w:tblStylePr>
    <w:tblStylePr w:type="firstCol">
      <w:rPr>
        <w:b/>
        <w:bCs/>
      </w:rPr>
    </w:tblStylePr>
    <w:tblStylePr w:type="lastCol">
      <w:rPr>
        <w:b/>
        <w:bCs/>
      </w:rPr>
    </w:tblStylePr>
    <w:tblStylePr w:type="band1Vert">
      <w:tblPr/>
      <w:tcPr>
        <w:tcBorders>
          <w:top w:val="single" w:sz="8" w:space="0" w:color="6DBE4A" w:themeColor="accent3"/>
          <w:left w:val="single" w:sz="8" w:space="0" w:color="6DBE4A" w:themeColor="accent3"/>
          <w:bottom w:val="single" w:sz="8" w:space="0" w:color="6DBE4A" w:themeColor="accent3"/>
          <w:right w:val="single" w:sz="8" w:space="0" w:color="6DBE4A" w:themeColor="accent3"/>
        </w:tcBorders>
      </w:tcPr>
    </w:tblStylePr>
    <w:tblStylePr w:type="band1Horz">
      <w:tblPr/>
      <w:tcPr>
        <w:tcBorders>
          <w:top w:val="single" w:sz="8" w:space="0" w:color="6DBE4A" w:themeColor="accent3"/>
          <w:left w:val="single" w:sz="8" w:space="0" w:color="6DBE4A" w:themeColor="accent3"/>
          <w:bottom w:val="single" w:sz="8" w:space="0" w:color="6DBE4A" w:themeColor="accent3"/>
          <w:right w:val="single" w:sz="8" w:space="0" w:color="6DBE4A" w:themeColor="accent3"/>
        </w:tcBorders>
      </w:tcPr>
    </w:tblStylePr>
  </w:style>
  <w:style w:type="table" w:styleId="TableGrid">
    <w:name w:val="Table Grid"/>
    <w:basedOn w:val="TableNormal"/>
    <w:uiPriority w:val="59"/>
    <w:rsid w:val="00C33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5">
    <w:name w:val="Light List Accent 5"/>
    <w:basedOn w:val="TableNormal"/>
    <w:uiPriority w:val="61"/>
    <w:rsid w:val="00C3386D"/>
    <w:pPr>
      <w:spacing w:after="0" w:line="240" w:lineRule="auto"/>
    </w:pPr>
    <w:tblPr>
      <w:tblStyleRowBandSize w:val="1"/>
      <w:tblStyleColBandSize w:val="1"/>
      <w:tblBorders>
        <w:top w:val="single" w:sz="8" w:space="0" w:color="6EBE44" w:themeColor="accent5"/>
        <w:left w:val="single" w:sz="8" w:space="0" w:color="6EBE44" w:themeColor="accent5"/>
        <w:bottom w:val="single" w:sz="8" w:space="0" w:color="6EBE44" w:themeColor="accent5"/>
        <w:right w:val="single" w:sz="8" w:space="0" w:color="6EBE44" w:themeColor="accent5"/>
      </w:tblBorders>
    </w:tblPr>
    <w:tblStylePr w:type="firstRow">
      <w:pPr>
        <w:spacing w:before="0" w:after="0" w:line="240" w:lineRule="auto"/>
      </w:pPr>
      <w:rPr>
        <w:b/>
        <w:bCs/>
        <w:color w:val="FFFFFF" w:themeColor="background1"/>
      </w:rPr>
      <w:tblPr/>
      <w:tcPr>
        <w:shd w:val="clear" w:color="auto" w:fill="6EBE44" w:themeFill="accent5"/>
      </w:tcPr>
    </w:tblStylePr>
    <w:tblStylePr w:type="lastRow">
      <w:pPr>
        <w:spacing w:before="0" w:after="0" w:line="240" w:lineRule="auto"/>
      </w:pPr>
      <w:rPr>
        <w:b/>
        <w:bCs/>
      </w:rPr>
      <w:tblPr/>
      <w:tcPr>
        <w:tcBorders>
          <w:top w:val="double" w:sz="6" w:space="0" w:color="6EBE44" w:themeColor="accent5"/>
          <w:left w:val="single" w:sz="8" w:space="0" w:color="6EBE44" w:themeColor="accent5"/>
          <w:bottom w:val="single" w:sz="8" w:space="0" w:color="6EBE44" w:themeColor="accent5"/>
          <w:right w:val="single" w:sz="8" w:space="0" w:color="6EBE44" w:themeColor="accent5"/>
        </w:tcBorders>
      </w:tcPr>
    </w:tblStylePr>
    <w:tblStylePr w:type="firstCol">
      <w:rPr>
        <w:b/>
        <w:bCs/>
      </w:rPr>
    </w:tblStylePr>
    <w:tblStylePr w:type="lastCol">
      <w:rPr>
        <w:b/>
        <w:bCs/>
      </w:rPr>
    </w:tblStylePr>
    <w:tblStylePr w:type="band1Vert">
      <w:tblPr/>
      <w:tcPr>
        <w:tcBorders>
          <w:top w:val="single" w:sz="8" w:space="0" w:color="6EBE44" w:themeColor="accent5"/>
          <w:left w:val="single" w:sz="8" w:space="0" w:color="6EBE44" w:themeColor="accent5"/>
          <w:bottom w:val="single" w:sz="8" w:space="0" w:color="6EBE44" w:themeColor="accent5"/>
          <w:right w:val="single" w:sz="8" w:space="0" w:color="6EBE44" w:themeColor="accent5"/>
        </w:tcBorders>
      </w:tcPr>
    </w:tblStylePr>
    <w:tblStylePr w:type="band1Horz">
      <w:tblPr/>
      <w:tcPr>
        <w:tcBorders>
          <w:top w:val="single" w:sz="8" w:space="0" w:color="6EBE44" w:themeColor="accent5"/>
          <w:left w:val="single" w:sz="8" w:space="0" w:color="6EBE44" w:themeColor="accent5"/>
          <w:bottom w:val="single" w:sz="8" w:space="0" w:color="6EBE44" w:themeColor="accent5"/>
          <w:right w:val="single" w:sz="8" w:space="0" w:color="6EBE44" w:themeColor="accent5"/>
        </w:tcBorders>
      </w:tcPr>
    </w:tblStylePr>
  </w:style>
  <w:style w:type="table" w:styleId="MediumShading1-Accent5">
    <w:name w:val="Medium Shading 1 Accent 5"/>
    <w:basedOn w:val="TableNormal"/>
    <w:uiPriority w:val="63"/>
    <w:rsid w:val="00C3386D"/>
    <w:pPr>
      <w:spacing w:after="0" w:line="240" w:lineRule="auto"/>
    </w:pPr>
    <w:tblPr>
      <w:tblStyleRowBandSize w:val="1"/>
      <w:tblStyleColBandSize w:val="1"/>
      <w:tblBorders>
        <w:top w:val="single" w:sz="8" w:space="0" w:color="91CE72" w:themeColor="accent5" w:themeTint="BF"/>
        <w:left w:val="single" w:sz="8" w:space="0" w:color="91CE72" w:themeColor="accent5" w:themeTint="BF"/>
        <w:bottom w:val="single" w:sz="8" w:space="0" w:color="91CE72" w:themeColor="accent5" w:themeTint="BF"/>
        <w:right w:val="single" w:sz="8" w:space="0" w:color="91CE72" w:themeColor="accent5" w:themeTint="BF"/>
        <w:insideH w:val="single" w:sz="8" w:space="0" w:color="91CE72" w:themeColor="accent5" w:themeTint="BF"/>
      </w:tblBorders>
    </w:tblPr>
    <w:tblStylePr w:type="firstRow">
      <w:pPr>
        <w:spacing w:before="0" w:after="0" w:line="240" w:lineRule="auto"/>
      </w:pPr>
      <w:rPr>
        <w:b/>
        <w:bCs/>
        <w:color w:val="FFFFFF" w:themeColor="background1"/>
      </w:rPr>
      <w:tblPr/>
      <w:tcPr>
        <w:tcBorders>
          <w:top w:val="single" w:sz="8" w:space="0" w:color="91CE72" w:themeColor="accent5" w:themeTint="BF"/>
          <w:left w:val="single" w:sz="8" w:space="0" w:color="91CE72" w:themeColor="accent5" w:themeTint="BF"/>
          <w:bottom w:val="single" w:sz="8" w:space="0" w:color="91CE72" w:themeColor="accent5" w:themeTint="BF"/>
          <w:right w:val="single" w:sz="8" w:space="0" w:color="91CE72" w:themeColor="accent5" w:themeTint="BF"/>
          <w:insideH w:val="nil"/>
          <w:insideV w:val="nil"/>
        </w:tcBorders>
        <w:shd w:val="clear" w:color="auto" w:fill="6EBE44" w:themeFill="accent5"/>
      </w:tcPr>
    </w:tblStylePr>
    <w:tblStylePr w:type="lastRow">
      <w:pPr>
        <w:spacing w:before="0" w:after="0" w:line="240" w:lineRule="auto"/>
      </w:pPr>
      <w:rPr>
        <w:b/>
        <w:bCs/>
      </w:rPr>
      <w:tblPr/>
      <w:tcPr>
        <w:tcBorders>
          <w:top w:val="double" w:sz="6" w:space="0" w:color="91CE72" w:themeColor="accent5" w:themeTint="BF"/>
          <w:left w:val="single" w:sz="8" w:space="0" w:color="91CE72" w:themeColor="accent5" w:themeTint="BF"/>
          <w:bottom w:val="single" w:sz="8" w:space="0" w:color="91CE72" w:themeColor="accent5" w:themeTint="BF"/>
          <w:right w:val="single" w:sz="8" w:space="0" w:color="91CE7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BEFD0" w:themeFill="accent5" w:themeFillTint="3F"/>
      </w:tcPr>
    </w:tblStylePr>
    <w:tblStylePr w:type="band1Horz">
      <w:tblPr/>
      <w:tcPr>
        <w:tcBorders>
          <w:insideH w:val="nil"/>
          <w:insideV w:val="nil"/>
        </w:tcBorders>
        <w:shd w:val="clear" w:color="auto" w:fill="DBEFD0" w:themeFill="accent5" w:themeFillTint="3F"/>
      </w:tcPr>
    </w:tblStylePr>
    <w:tblStylePr w:type="band2Horz">
      <w:tblPr/>
      <w:tcPr>
        <w:tcBorders>
          <w:insideH w:val="nil"/>
          <w:insideV w:val="nil"/>
        </w:tcBorders>
      </w:tcPr>
    </w:tblStylePr>
  </w:style>
  <w:style w:type="paragraph" w:customStyle="1" w:styleId="CoverPageTitle">
    <w:name w:val="Cover Page Title"/>
    <w:qFormat/>
    <w:rsid w:val="0071762E"/>
    <w:pPr>
      <w:tabs>
        <w:tab w:val="left" w:pos="-142"/>
      </w:tabs>
      <w:spacing w:after="0" w:line="240" w:lineRule="auto"/>
      <w:ind w:left="-142"/>
      <w:jc w:val="center"/>
    </w:pPr>
    <w:rPr>
      <w:rFonts w:ascii="Century Gothic" w:eastAsiaTheme="majorEastAsia" w:hAnsi="Century Gothic" w:cstheme="majorBidi"/>
      <w:b/>
      <w:bCs/>
      <w:color w:val="15873E"/>
      <w:sz w:val="100"/>
      <w:szCs w:val="100"/>
      <w:lang w:val="en-AU"/>
    </w:rPr>
  </w:style>
  <w:style w:type="paragraph" w:customStyle="1" w:styleId="CoverPagesubheading">
    <w:name w:val="Cover Page sub heading"/>
    <w:qFormat/>
    <w:rsid w:val="00C8703D"/>
    <w:pPr>
      <w:tabs>
        <w:tab w:val="left" w:pos="-142"/>
      </w:tabs>
      <w:spacing w:after="0" w:line="240" w:lineRule="auto"/>
      <w:ind w:left="-142"/>
    </w:pPr>
    <w:rPr>
      <w:rFonts w:ascii="Century Gothic" w:eastAsiaTheme="majorEastAsia" w:hAnsi="Century Gothic" w:cstheme="majorBidi"/>
      <w:bCs/>
      <w:color w:val="000000" w:themeColor="text1"/>
      <w:sz w:val="82"/>
      <w:szCs w:val="82"/>
      <w:lang w:val="en-US"/>
    </w:rPr>
  </w:style>
  <w:style w:type="paragraph" w:customStyle="1" w:styleId="Body">
    <w:name w:val="Body"/>
    <w:basedOn w:val="Normal"/>
    <w:uiPriority w:val="99"/>
    <w:rsid w:val="00C8703D"/>
    <w:pPr>
      <w:widowControl w:val="0"/>
      <w:suppressAutoHyphens/>
      <w:autoSpaceDE w:val="0"/>
      <w:autoSpaceDN w:val="0"/>
      <w:adjustRightInd w:val="0"/>
      <w:spacing w:before="0" w:after="113" w:line="260" w:lineRule="atLeast"/>
      <w:textAlignment w:val="center"/>
    </w:pPr>
    <w:rPr>
      <w:rFonts w:ascii="ConcordW00-Light" w:eastAsiaTheme="minorEastAsia" w:hAnsi="ConcordW00-Light" w:cs="ConcordW00-Light"/>
      <w:color w:val="000000"/>
      <w:sz w:val="19"/>
      <w:szCs w:val="19"/>
      <w:lang w:val="en-US"/>
    </w:rPr>
  </w:style>
  <w:style w:type="paragraph" w:styleId="Revision">
    <w:name w:val="Revision"/>
    <w:hidden/>
    <w:uiPriority w:val="99"/>
    <w:semiHidden/>
    <w:rsid w:val="0007765B"/>
    <w:pPr>
      <w:spacing w:after="0" w:line="240" w:lineRule="auto"/>
    </w:pPr>
    <w:rPr>
      <w:rFonts w:ascii="Century Gothic" w:hAnsi="Century Gothic"/>
      <w:sz w:val="20"/>
    </w:rPr>
  </w:style>
  <w:style w:type="character" w:styleId="CommentReference">
    <w:name w:val="annotation reference"/>
    <w:basedOn w:val="DefaultParagraphFont"/>
    <w:uiPriority w:val="99"/>
    <w:semiHidden/>
    <w:unhideWhenUsed/>
    <w:rsid w:val="0007765B"/>
    <w:rPr>
      <w:sz w:val="16"/>
      <w:szCs w:val="16"/>
    </w:rPr>
  </w:style>
  <w:style w:type="paragraph" w:styleId="CommentText">
    <w:name w:val="annotation text"/>
    <w:basedOn w:val="Normal"/>
    <w:link w:val="CommentTextChar"/>
    <w:uiPriority w:val="99"/>
    <w:semiHidden/>
    <w:unhideWhenUsed/>
    <w:rsid w:val="0007765B"/>
    <w:pPr>
      <w:spacing w:line="240" w:lineRule="auto"/>
    </w:pPr>
    <w:rPr>
      <w:szCs w:val="20"/>
    </w:rPr>
  </w:style>
  <w:style w:type="character" w:customStyle="1" w:styleId="CommentTextChar">
    <w:name w:val="Comment Text Char"/>
    <w:basedOn w:val="DefaultParagraphFont"/>
    <w:link w:val="CommentText"/>
    <w:uiPriority w:val="99"/>
    <w:semiHidden/>
    <w:rsid w:val="0007765B"/>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07765B"/>
    <w:rPr>
      <w:b/>
      <w:bCs/>
    </w:rPr>
  </w:style>
  <w:style w:type="character" w:customStyle="1" w:styleId="CommentSubjectChar">
    <w:name w:val="Comment Subject Char"/>
    <w:basedOn w:val="CommentTextChar"/>
    <w:link w:val="CommentSubject"/>
    <w:uiPriority w:val="99"/>
    <w:semiHidden/>
    <w:rsid w:val="0007765B"/>
    <w:rPr>
      <w:rFonts w:ascii="Century Gothic" w:hAnsi="Century Gothic"/>
      <w:b/>
      <w:bCs/>
      <w:sz w:val="20"/>
      <w:szCs w:val="20"/>
    </w:rPr>
  </w:style>
  <w:style w:type="table" w:styleId="GridTable1Light-Accent1">
    <w:name w:val="Grid Table 1 Light Accent 1"/>
    <w:basedOn w:val="TableNormal"/>
    <w:uiPriority w:val="46"/>
    <w:rsid w:val="00A87E99"/>
    <w:pPr>
      <w:spacing w:after="0" w:line="240" w:lineRule="auto"/>
    </w:pPr>
    <w:rPr>
      <w:color w:val="15873E"/>
    </w:rPr>
    <w:tblPr>
      <w:tblStyleRowBandSize w:val="1"/>
      <w:tblStyleColBandSize w:val="1"/>
      <w:tblBorders>
        <w:top w:val="single" w:sz="4" w:space="0" w:color="15873E"/>
        <w:left w:val="single" w:sz="4" w:space="0" w:color="15873E"/>
        <w:bottom w:val="single" w:sz="4" w:space="0" w:color="15873E"/>
        <w:right w:val="single" w:sz="4" w:space="0" w:color="15873E"/>
        <w:insideH w:val="single" w:sz="4" w:space="0" w:color="15873E"/>
        <w:insideV w:val="single" w:sz="4" w:space="0" w:color="15873E"/>
      </w:tblBorders>
    </w:tblPr>
    <w:tcPr>
      <w:shd w:val="clear" w:color="auto" w:fill="FFFFFF" w:themeFill="background1"/>
    </w:tcPr>
    <w:tblStylePr w:type="firstRow">
      <w:rPr>
        <w:b/>
        <w:bCs/>
      </w:rPr>
      <w:tblPr/>
      <w:tcPr>
        <w:tcBorders>
          <w:bottom w:val="single" w:sz="12" w:space="0" w:color="48E380" w:themeColor="accent1" w:themeTint="99"/>
        </w:tcBorders>
      </w:tcPr>
    </w:tblStylePr>
    <w:tblStylePr w:type="lastRow">
      <w:rPr>
        <w:b/>
        <w:bCs/>
      </w:rPr>
      <w:tblPr/>
      <w:tcPr>
        <w:tcBorders>
          <w:top w:val="double" w:sz="2" w:space="0" w:color="48E380"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0C5C01"/>
    <w:pPr>
      <w:spacing w:after="0" w:line="240" w:lineRule="auto"/>
    </w:pPr>
    <w:rPr>
      <w:kern w:val="2"/>
      <w:sz w:val="24"/>
      <w:szCs w:val="24"/>
      <w14:ligatures w14:val="standardContextual"/>
    </w:rPr>
    <w:tblPr>
      <w:tblStyleRowBandSize w:val="1"/>
      <w:tblStyleColBandSize w:val="1"/>
      <w:tblInd w:w="0" w:type="nil"/>
      <w:tblBorders>
        <w:top w:val="single" w:sz="4" w:space="0" w:color="48E380" w:themeColor="accent1" w:themeTint="99"/>
        <w:left w:val="single" w:sz="4" w:space="0" w:color="48E380" w:themeColor="accent1" w:themeTint="99"/>
        <w:bottom w:val="single" w:sz="4" w:space="0" w:color="48E380" w:themeColor="accent1" w:themeTint="99"/>
        <w:right w:val="single" w:sz="4" w:space="0" w:color="48E380" w:themeColor="accent1" w:themeTint="99"/>
        <w:insideH w:val="single" w:sz="4" w:space="0" w:color="48E380" w:themeColor="accent1" w:themeTint="99"/>
        <w:insideV w:val="single" w:sz="4" w:space="0" w:color="48E380" w:themeColor="accent1" w:themeTint="99"/>
      </w:tblBorders>
    </w:tblPr>
  </w:style>
  <w:style w:type="table" w:styleId="ListTable3-Accent1">
    <w:name w:val="List Table 3 Accent 1"/>
    <w:basedOn w:val="TableNormal"/>
    <w:uiPriority w:val="48"/>
    <w:rsid w:val="00EA7F63"/>
    <w:pPr>
      <w:spacing w:after="0" w:line="240" w:lineRule="auto"/>
    </w:pPr>
    <w:tblPr>
      <w:tblStyleRowBandSize w:val="1"/>
      <w:tblStyleColBandSize w:val="1"/>
      <w:tblBorders>
        <w:top w:val="single" w:sz="4" w:space="0" w:color="158C40" w:themeColor="accent1"/>
        <w:left w:val="single" w:sz="4" w:space="0" w:color="158C40" w:themeColor="accent1"/>
        <w:bottom w:val="single" w:sz="4" w:space="0" w:color="158C40" w:themeColor="accent1"/>
        <w:right w:val="single" w:sz="4" w:space="0" w:color="158C40" w:themeColor="accent1"/>
      </w:tblBorders>
    </w:tblPr>
    <w:tblStylePr w:type="firstRow">
      <w:rPr>
        <w:b/>
        <w:bCs/>
        <w:color w:val="FFFFFF" w:themeColor="background1"/>
      </w:rPr>
      <w:tblPr/>
      <w:tcPr>
        <w:shd w:val="clear" w:color="auto" w:fill="158C40" w:themeFill="accent1"/>
      </w:tcPr>
    </w:tblStylePr>
    <w:tblStylePr w:type="lastRow">
      <w:rPr>
        <w:b/>
        <w:bCs/>
      </w:rPr>
      <w:tblPr/>
      <w:tcPr>
        <w:tcBorders>
          <w:top w:val="double" w:sz="4" w:space="0" w:color="158C4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8C40" w:themeColor="accent1"/>
          <w:right w:val="single" w:sz="4" w:space="0" w:color="158C40" w:themeColor="accent1"/>
        </w:tcBorders>
      </w:tcPr>
    </w:tblStylePr>
    <w:tblStylePr w:type="band1Horz">
      <w:tblPr/>
      <w:tcPr>
        <w:tcBorders>
          <w:top w:val="single" w:sz="4" w:space="0" w:color="158C40" w:themeColor="accent1"/>
          <w:bottom w:val="single" w:sz="4" w:space="0" w:color="158C4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8C40" w:themeColor="accent1"/>
          <w:left w:val="nil"/>
        </w:tcBorders>
      </w:tcPr>
    </w:tblStylePr>
    <w:tblStylePr w:type="swCell">
      <w:tblPr/>
      <w:tcPr>
        <w:tcBorders>
          <w:top w:val="double" w:sz="4" w:space="0" w:color="158C40"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558202">
      <w:bodyDiv w:val="1"/>
      <w:marLeft w:val="0"/>
      <w:marRight w:val="0"/>
      <w:marTop w:val="0"/>
      <w:marBottom w:val="0"/>
      <w:divBdr>
        <w:top w:val="none" w:sz="0" w:space="0" w:color="auto"/>
        <w:left w:val="none" w:sz="0" w:space="0" w:color="auto"/>
        <w:bottom w:val="none" w:sz="0" w:space="0" w:color="auto"/>
        <w:right w:val="none" w:sz="0" w:space="0" w:color="auto"/>
      </w:divBdr>
    </w:div>
    <w:div w:id="1268998386">
      <w:bodyDiv w:val="1"/>
      <w:marLeft w:val="0"/>
      <w:marRight w:val="0"/>
      <w:marTop w:val="0"/>
      <w:marBottom w:val="0"/>
      <w:divBdr>
        <w:top w:val="none" w:sz="0" w:space="0" w:color="auto"/>
        <w:left w:val="none" w:sz="0" w:space="0" w:color="auto"/>
        <w:bottom w:val="none" w:sz="0" w:space="0" w:color="auto"/>
        <w:right w:val="none" w:sz="0" w:space="0" w:color="auto"/>
      </w:divBdr>
      <w:divsChild>
        <w:div w:id="1668171051">
          <w:marLeft w:val="0"/>
          <w:marRight w:val="0"/>
          <w:marTop w:val="0"/>
          <w:marBottom w:val="0"/>
          <w:divBdr>
            <w:top w:val="none" w:sz="0" w:space="0" w:color="auto"/>
            <w:left w:val="none" w:sz="0" w:space="0" w:color="auto"/>
            <w:bottom w:val="none" w:sz="0" w:space="0" w:color="auto"/>
            <w:right w:val="none" w:sz="0" w:space="0" w:color="auto"/>
          </w:divBdr>
        </w:div>
        <w:div w:id="1341348745">
          <w:marLeft w:val="0"/>
          <w:marRight w:val="0"/>
          <w:marTop w:val="0"/>
          <w:marBottom w:val="0"/>
          <w:divBdr>
            <w:top w:val="none" w:sz="0" w:space="0" w:color="auto"/>
            <w:left w:val="none" w:sz="0" w:space="0" w:color="auto"/>
            <w:bottom w:val="none" w:sz="0" w:space="0" w:color="auto"/>
            <w:right w:val="none" w:sz="0" w:space="0" w:color="auto"/>
          </w:divBdr>
          <w:divsChild>
            <w:div w:id="598876605">
              <w:marLeft w:val="0"/>
              <w:marRight w:val="0"/>
              <w:marTop w:val="0"/>
              <w:marBottom w:val="0"/>
              <w:divBdr>
                <w:top w:val="none" w:sz="0" w:space="0" w:color="auto"/>
                <w:left w:val="none" w:sz="0" w:space="0" w:color="auto"/>
                <w:bottom w:val="none" w:sz="0" w:space="0" w:color="auto"/>
                <w:right w:val="none" w:sz="0" w:space="0" w:color="auto"/>
              </w:divBdr>
            </w:div>
          </w:divsChild>
        </w:div>
        <w:div w:id="1043555250">
          <w:marLeft w:val="0"/>
          <w:marRight w:val="0"/>
          <w:marTop w:val="0"/>
          <w:marBottom w:val="0"/>
          <w:divBdr>
            <w:top w:val="none" w:sz="0" w:space="0" w:color="auto"/>
            <w:left w:val="none" w:sz="0" w:space="0" w:color="auto"/>
            <w:bottom w:val="none" w:sz="0" w:space="0" w:color="auto"/>
            <w:right w:val="none" w:sz="0" w:space="0" w:color="auto"/>
          </w:divBdr>
        </w:div>
        <w:div w:id="2109544656">
          <w:marLeft w:val="0"/>
          <w:marRight w:val="0"/>
          <w:marTop w:val="0"/>
          <w:marBottom w:val="0"/>
          <w:divBdr>
            <w:top w:val="none" w:sz="0" w:space="0" w:color="auto"/>
            <w:left w:val="none" w:sz="0" w:space="0" w:color="auto"/>
            <w:bottom w:val="none" w:sz="0" w:space="0" w:color="auto"/>
            <w:right w:val="none" w:sz="0" w:space="0" w:color="auto"/>
          </w:divBdr>
          <w:divsChild>
            <w:div w:id="1227109720">
              <w:marLeft w:val="0"/>
              <w:marRight w:val="0"/>
              <w:marTop w:val="0"/>
              <w:marBottom w:val="0"/>
              <w:divBdr>
                <w:top w:val="none" w:sz="0" w:space="0" w:color="auto"/>
                <w:left w:val="none" w:sz="0" w:space="0" w:color="auto"/>
                <w:bottom w:val="none" w:sz="0" w:space="0" w:color="auto"/>
                <w:right w:val="none" w:sz="0" w:space="0" w:color="auto"/>
              </w:divBdr>
              <w:divsChild>
                <w:div w:id="1194490450">
                  <w:marLeft w:val="-225"/>
                  <w:marRight w:val="-225"/>
                  <w:marTop w:val="0"/>
                  <w:marBottom w:val="0"/>
                  <w:divBdr>
                    <w:top w:val="none" w:sz="0" w:space="0" w:color="auto"/>
                    <w:left w:val="none" w:sz="0" w:space="0" w:color="auto"/>
                    <w:bottom w:val="none" w:sz="0" w:space="0" w:color="auto"/>
                    <w:right w:val="none" w:sz="0" w:space="0" w:color="auto"/>
                  </w:divBdr>
                  <w:divsChild>
                    <w:div w:id="1812481363">
                      <w:marLeft w:val="0"/>
                      <w:marRight w:val="0"/>
                      <w:marTop w:val="0"/>
                      <w:marBottom w:val="0"/>
                      <w:divBdr>
                        <w:top w:val="none" w:sz="0" w:space="0" w:color="auto"/>
                        <w:left w:val="none" w:sz="0" w:space="0" w:color="auto"/>
                        <w:bottom w:val="none" w:sz="0" w:space="0" w:color="auto"/>
                        <w:right w:val="none" w:sz="0" w:space="0" w:color="auto"/>
                      </w:divBdr>
                      <w:divsChild>
                        <w:div w:id="941886538">
                          <w:marLeft w:val="0"/>
                          <w:marRight w:val="0"/>
                          <w:marTop w:val="0"/>
                          <w:marBottom w:val="0"/>
                          <w:divBdr>
                            <w:top w:val="none" w:sz="0" w:space="0" w:color="auto"/>
                            <w:left w:val="none" w:sz="0" w:space="0" w:color="auto"/>
                            <w:bottom w:val="none" w:sz="0" w:space="0" w:color="auto"/>
                            <w:right w:val="none" w:sz="0" w:space="0" w:color="auto"/>
                          </w:divBdr>
                        </w:div>
                      </w:divsChild>
                    </w:div>
                    <w:div w:id="1423795502">
                      <w:marLeft w:val="-225"/>
                      <w:marRight w:val="-225"/>
                      <w:marTop w:val="0"/>
                      <w:marBottom w:val="0"/>
                      <w:divBdr>
                        <w:top w:val="none" w:sz="0" w:space="0" w:color="auto"/>
                        <w:left w:val="none" w:sz="0" w:space="0" w:color="auto"/>
                        <w:bottom w:val="none" w:sz="0" w:space="0" w:color="auto"/>
                        <w:right w:val="none" w:sz="0" w:space="0" w:color="auto"/>
                      </w:divBdr>
                      <w:divsChild>
                        <w:div w:id="234052558">
                          <w:marLeft w:val="0"/>
                          <w:marRight w:val="0"/>
                          <w:marTop w:val="0"/>
                          <w:marBottom w:val="0"/>
                          <w:divBdr>
                            <w:top w:val="none" w:sz="0" w:space="0" w:color="auto"/>
                            <w:left w:val="none" w:sz="0" w:space="0" w:color="auto"/>
                            <w:bottom w:val="none" w:sz="0" w:space="0" w:color="auto"/>
                            <w:right w:val="none" w:sz="0" w:space="0" w:color="auto"/>
                          </w:divBdr>
                          <w:divsChild>
                            <w:div w:id="219101585">
                              <w:marLeft w:val="0"/>
                              <w:marRight w:val="0"/>
                              <w:marTop w:val="0"/>
                              <w:marBottom w:val="0"/>
                              <w:divBdr>
                                <w:top w:val="none" w:sz="0" w:space="0" w:color="auto"/>
                                <w:left w:val="none" w:sz="0" w:space="0" w:color="auto"/>
                                <w:bottom w:val="none" w:sz="0" w:space="0" w:color="auto"/>
                                <w:right w:val="none" w:sz="0" w:space="0" w:color="auto"/>
                              </w:divBdr>
                            </w:div>
                          </w:divsChild>
                        </w:div>
                        <w:div w:id="270549569">
                          <w:marLeft w:val="0"/>
                          <w:marRight w:val="0"/>
                          <w:marTop w:val="0"/>
                          <w:marBottom w:val="0"/>
                          <w:divBdr>
                            <w:top w:val="none" w:sz="0" w:space="0" w:color="auto"/>
                            <w:left w:val="none" w:sz="0" w:space="0" w:color="auto"/>
                            <w:bottom w:val="none" w:sz="0" w:space="0" w:color="auto"/>
                            <w:right w:val="none" w:sz="0" w:space="0" w:color="auto"/>
                          </w:divBdr>
                          <w:divsChild>
                            <w:div w:id="52907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932695">
              <w:marLeft w:val="0"/>
              <w:marRight w:val="0"/>
              <w:marTop w:val="0"/>
              <w:marBottom w:val="0"/>
              <w:divBdr>
                <w:top w:val="none" w:sz="0" w:space="0" w:color="auto"/>
                <w:left w:val="none" w:sz="0" w:space="0" w:color="auto"/>
                <w:bottom w:val="none" w:sz="0" w:space="0" w:color="auto"/>
                <w:right w:val="none" w:sz="0" w:space="0" w:color="auto"/>
              </w:divBdr>
            </w:div>
            <w:div w:id="132212606">
              <w:marLeft w:val="0"/>
              <w:marRight w:val="0"/>
              <w:marTop w:val="0"/>
              <w:marBottom w:val="0"/>
              <w:divBdr>
                <w:top w:val="none" w:sz="0" w:space="0" w:color="auto"/>
                <w:left w:val="none" w:sz="0" w:space="0" w:color="auto"/>
                <w:bottom w:val="none" w:sz="0" w:space="0" w:color="auto"/>
                <w:right w:val="none" w:sz="0" w:space="0" w:color="auto"/>
              </w:divBdr>
              <w:divsChild>
                <w:div w:id="1123768533">
                  <w:marLeft w:val="-225"/>
                  <w:marRight w:val="-225"/>
                  <w:marTop w:val="0"/>
                  <w:marBottom w:val="0"/>
                  <w:divBdr>
                    <w:top w:val="none" w:sz="0" w:space="0" w:color="auto"/>
                    <w:left w:val="none" w:sz="0" w:space="0" w:color="auto"/>
                    <w:bottom w:val="none" w:sz="0" w:space="0" w:color="auto"/>
                    <w:right w:val="none" w:sz="0" w:space="0" w:color="auto"/>
                  </w:divBdr>
                  <w:divsChild>
                    <w:div w:id="65810112">
                      <w:marLeft w:val="0"/>
                      <w:marRight w:val="0"/>
                      <w:marTop w:val="0"/>
                      <w:marBottom w:val="0"/>
                      <w:divBdr>
                        <w:top w:val="none" w:sz="0" w:space="0" w:color="auto"/>
                        <w:left w:val="none" w:sz="0" w:space="0" w:color="auto"/>
                        <w:bottom w:val="none" w:sz="0" w:space="0" w:color="auto"/>
                        <w:right w:val="none" w:sz="0" w:space="0" w:color="auto"/>
                      </w:divBdr>
                      <w:divsChild>
                        <w:div w:id="1181355703">
                          <w:marLeft w:val="0"/>
                          <w:marRight w:val="0"/>
                          <w:marTop w:val="0"/>
                          <w:marBottom w:val="0"/>
                          <w:divBdr>
                            <w:top w:val="none" w:sz="0" w:space="0" w:color="auto"/>
                            <w:left w:val="none" w:sz="0" w:space="0" w:color="auto"/>
                            <w:bottom w:val="none" w:sz="0" w:space="0" w:color="auto"/>
                            <w:right w:val="none" w:sz="0" w:space="0" w:color="auto"/>
                          </w:divBdr>
                        </w:div>
                      </w:divsChild>
                    </w:div>
                    <w:div w:id="1190529300">
                      <w:marLeft w:val="-225"/>
                      <w:marRight w:val="-225"/>
                      <w:marTop w:val="0"/>
                      <w:marBottom w:val="0"/>
                      <w:divBdr>
                        <w:top w:val="none" w:sz="0" w:space="0" w:color="auto"/>
                        <w:left w:val="none" w:sz="0" w:space="0" w:color="auto"/>
                        <w:bottom w:val="none" w:sz="0" w:space="0" w:color="auto"/>
                        <w:right w:val="none" w:sz="0" w:space="0" w:color="auto"/>
                      </w:divBdr>
                      <w:divsChild>
                        <w:div w:id="535897764">
                          <w:marLeft w:val="0"/>
                          <w:marRight w:val="0"/>
                          <w:marTop w:val="0"/>
                          <w:marBottom w:val="0"/>
                          <w:divBdr>
                            <w:top w:val="none" w:sz="0" w:space="0" w:color="auto"/>
                            <w:left w:val="none" w:sz="0" w:space="0" w:color="auto"/>
                            <w:bottom w:val="none" w:sz="0" w:space="0" w:color="auto"/>
                            <w:right w:val="none" w:sz="0" w:space="0" w:color="auto"/>
                          </w:divBdr>
                          <w:divsChild>
                            <w:div w:id="41485056">
                              <w:marLeft w:val="0"/>
                              <w:marRight w:val="0"/>
                              <w:marTop w:val="0"/>
                              <w:marBottom w:val="0"/>
                              <w:divBdr>
                                <w:top w:val="none" w:sz="0" w:space="0" w:color="auto"/>
                                <w:left w:val="none" w:sz="0" w:space="0" w:color="auto"/>
                                <w:bottom w:val="none" w:sz="0" w:space="0" w:color="auto"/>
                                <w:right w:val="none" w:sz="0" w:space="0" w:color="auto"/>
                              </w:divBdr>
                            </w:div>
                          </w:divsChild>
                        </w:div>
                        <w:div w:id="1018434940">
                          <w:marLeft w:val="0"/>
                          <w:marRight w:val="0"/>
                          <w:marTop w:val="0"/>
                          <w:marBottom w:val="0"/>
                          <w:divBdr>
                            <w:top w:val="none" w:sz="0" w:space="0" w:color="auto"/>
                            <w:left w:val="none" w:sz="0" w:space="0" w:color="auto"/>
                            <w:bottom w:val="none" w:sz="0" w:space="0" w:color="auto"/>
                            <w:right w:val="none" w:sz="0" w:space="0" w:color="auto"/>
                          </w:divBdr>
                          <w:divsChild>
                            <w:div w:id="183710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70784">
              <w:marLeft w:val="0"/>
              <w:marRight w:val="0"/>
              <w:marTop w:val="0"/>
              <w:marBottom w:val="0"/>
              <w:divBdr>
                <w:top w:val="none" w:sz="0" w:space="0" w:color="auto"/>
                <w:left w:val="none" w:sz="0" w:space="0" w:color="auto"/>
                <w:bottom w:val="none" w:sz="0" w:space="0" w:color="auto"/>
                <w:right w:val="none" w:sz="0" w:space="0" w:color="auto"/>
              </w:divBdr>
            </w:div>
            <w:div w:id="1422291508">
              <w:marLeft w:val="0"/>
              <w:marRight w:val="0"/>
              <w:marTop w:val="0"/>
              <w:marBottom w:val="0"/>
              <w:divBdr>
                <w:top w:val="none" w:sz="0" w:space="0" w:color="auto"/>
                <w:left w:val="none" w:sz="0" w:space="0" w:color="auto"/>
                <w:bottom w:val="none" w:sz="0" w:space="0" w:color="auto"/>
                <w:right w:val="none" w:sz="0" w:space="0" w:color="auto"/>
              </w:divBdr>
              <w:divsChild>
                <w:div w:id="1317149220">
                  <w:marLeft w:val="-225"/>
                  <w:marRight w:val="-225"/>
                  <w:marTop w:val="0"/>
                  <w:marBottom w:val="0"/>
                  <w:divBdr>
                    <w:top w:val="none" w:sz="0" w:space="0" w:color="auto"/>
                    <w:left w:val="none" w:sz="0" w:space="0" w:color="auto"/>
                    <w:bottom w:val="none" w:sz="0" w:space="0" w:color="auto"/>
                    <w:right w:val="none" w:sz="0" w:space="0" w:color="auto"/>
                  </w:divBdr>
                  <w:divsChild>
                    <w:div w:id="944920701">
                      <w:marLeft w:val="0"/>
                      <w:marRight w:val="0"/>
                      <w:marTop w:val="0"/>
                      <w:marBottom w:val="0"/>
                      <w:divBdr>
                        <w:top w:val="none" w:sz="0" w:space="0" w:color="auto"/>
                        <w:left w:val="none" w:sz="0" w:space="0" w:color="auto"/>
                        <w:bottom w:val="none" w:sz="0" w:space="0" w:color="auto"/>
                        <w:right w:val="none" w:sz="0" w:space="0" w:color="auto"/>
                      </w:divBdr>
                      <w:divsChild>
                        <w:div w:id="1560552275">
                          <w:marLeft w:val="0"/>
                          <w:marRight w:val="0"/>
                          <w:marTop w:val="0"/>
                          <w:marBottom w:val="0"/>
                          <w:divBdr>
                            <w:top w:val="none" w:sz="0" w:space="0" w:color="auto"/>
                            <w:left w:val="none" w:sz="0" w:space="0" w:color="auto"/>
                            <w:bottom w:val="none" w:sz="0" w:space="0" w:color="auto"/>
                            <w:right w:val="none" w:sz="0" w:space="0" w:color="auto"/>
                          </w:divBdr>
                        </w:div>
                      </w:divsChild>
                    </w:div>
                    <w:div w:id="153300253">
                      <w:marLeft w:val="-225"/>
                      <w:marRight w:val="-225"/>
                      <w:marTop w:val="0"/>
                      <w:marBottom w:val="0"/>
                      <w:divBdr>
                        <w:top w:val="none" w:sz="0" w:space="0" w:color="auto"/>
                        <w:left w:val="none" w:sz="0" w:space="0" w:color="auto"/>
                        <w:bottom w:val="none" w:sz="0" w:space="0" w:color="auto"/>
                        <w:right w:val="none" w:sz="0" w:space="0" w:color="auto"/>
                      </w:divBdr>
                      <w:divsChild>
                        <w:div w:id="386807694">
                          <w:marLeft w:val="0"/>
                          <w:marRight w:val="0"/>
                          <w:marTop w:val="0"/>
                          <w:marBottom w:val="0"/>
                          <w:divBdr>
                            <w:top w:val="none" w:sz="0" w:space="0" w:color="auto"/>
                            <w:left w:val="none" w:sz="0" w:space="0" w:color="auto"/>
                            <w:bottom w:val="none" w:sz="0" w:space="0" w:color="auto"/>
                            <w:right w:val="none" w:sz="0" w:space="0" w:color="auto"/>
                          </w:divBdr>
                          <w:divsChild>
                            <w:div w:id="1645818580">
                              <w:marLeft w:val="0"/>
                              <w:marRight w:val="0"/>
                              <w:marTop w:val="0"/>
                              <w:marBottom w:val="0"/>
                              <w:divBdr>
                                <w:top w:val="none" w:sz="0" w:space="0" w:color="auto"/>
                                <w:left w:val="none" w:sz="0" w:space="0" w:color="auto"/>
                                <w:bottom w:val="none" w:sz="0" w:space="0" w:color="auto"/>
                                <w:right w:val="none" w:sz="0" w:space="0" w:color="auto"/>
                              </w:divBdr>
                            </w:div>
                          </w:divsChild>
                        </w:div>
                        <w:div w:id="417869130">
                          <w:marLeft w:val="0"/>
                          <w:marRight w:val="0"/>
                          <w:marTop w:val="0"/>
                          <w:marBottom w:val="0"/>
                          <w:divBdr>
                            <w:top w:val="none" w:sz="0" w:space="0" w:color="auto"/>
                            <w:left w:val="none" w:sz="0" w:space="0" w:color="auto"/>
                            <w:bottom w:val="none" w:sz="0" w:space="0" w:color="auto"/>
                            <w:right w:val="none" w:sz="0" w:space="0" w:color="auto"/>
                          </w:divBdr>
                          <w:divsChild>
                            <w:div w:id="140040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228024">
              <w:marLeft w:val="0"/>
              <w:marRight w:val="0"/>
              <w:marTop w:val="0"/>
              <w:marBottom w:val="0"/>
              <w:divBdr>
                <w:top w:val="none" w:sz="0" w:space="0" w:color="auto"/>
                <w:left w:val="none" w:sz="0" w:space="0" w:color="auto"/>
                <w:bottom w:val="none" w:sz="0" w:space="0" w:color="auto"/>
                <w:right w:val="none" w:sz="0" w:space="0" w:color="auto"/>
              </w:divBdr>
            </w:div>
          </w:divsChild>
        </w:div>
        <w:div w:id="1872762860">
          <w:marLeft w:val="0"/>
          <w:marRight w:val="0"/>
          <w:marTop w:val="0"/>
          <w:marBottom w:val="0"/>
          <w:divBdr>
            <w:top w:val="none" w:sz="0" w:space="0" w:color="auto"/>
            <w:left w:val="none" w:sz="0" w:space="0" w:color="auto"/>
            <w:bottom w:val="none" w:sz="0" w:space="0" w:color="auto"/>
            <w:right w:val="none" w:sz="0" w:space="0" w:color="auto"/>
          </w:divBdr>
        </w:div>
        <w:div w:id="1011375112">
          <w:marLeft w:val="0"/>
          <w:marRight w:val="0"/>
          <w:marTop w:val="0"/>
          <w:marBottom w:val="0"/>
          <w:divBdr>
            <w:top w:val="none" w:sz="0" w:space="0" w:color="auto"/>
            <w:left w:val="none" w:sz="0" w:space="0" w:color="auto"/>
            <w:bottom w:val="none" w:sz="0" w:space="0" w:color="auto"/>
            <w:right w:val="none" w:sz="0" w:space="0" w:color="auto"/>
          </w:divBdr>
          <w:divsChild>
            <w:div w:id="2025475482">
              <w:marLeft w:val="0"/>
              <w:marRight w:val="0"/>
              <w:marTop w:val="0"/>
              <w:marBottom w:val="0"/>
              <w:divBdr>
                <w:top w:val="none" w:sz="0" w:space="0" w:color="auto"/>
                <w:left w:val="none" w:sz="0" w:space="0" w:color="auto"/>
                <w:bottom w:val="none" w:sz="0" w:space="0" w:color="auto"/>
                <w:right w:val="none" w:sz="0" w:space="0" w:color="auto"/>
              </w:divBdr>
              <w:divsChild>
                <w:div w:id="68582989">
                  <w:marLeft w:val="-225"/>
                  <w:marRight w:val="-225"/>
                  <w:marTop w:val="0"/>
                  <w:marBottom w:val="0"/>
                  <w:divBdr>
                    <w:top w:val="none" w:sz="0" w:space="0" w:color="auto"/>
                    <w:left w:val="none" w:sz="0" w:space="0" w:color="auto"/>
                    <w:bottom w:val="none" w:sz="0" w:space="0" w:color="auto"/>
                    <w:right w:val="none" w:sz="0" w:space="0" w:color="auto"/>
                  </w:divBdr>
                  <w:divsChild>
                    <w:div w:id="2146701173">
                      <w:marLeft w:val="0"/>
                      <w:marRight w:val="0"/>
                      <w:marTop w:val="0"/>
                      <w:marBottom w:val="0"/>
                      <w:divBdr>
                        <w:top w:val="none" w:sz="0" w:space="0" w:color="auto"/>
                        <w:left w:val="none" w:sz="0" w:space="0" w:color="auto"/>
                        <w:bottom w:val="none" w:sz="0" w:space="0" w:color="auto"/>
                        <w:right w:val="none" w:sz="0" w:space="0" w:color="auto"/>
                      </w:divBdr>
                      <w:divsChild>
                        <w:div w:id="1314723378">
                          <w:marLeft w:val="0"/>
                          <w:marRight w:val="0"/>
                          <w:marTop w:val="0"/>
                          <w:marBottom w:val="0"/>
                          <w:divBdr>
                            <w:top w:val="none" w:sz="0" w:space="0" w:color="auto"/>
                            <w:left w:val="none" w:sz="0" w:space="0" w:color="auto"/>
                            <w:bottom w:val="none" w:sz="0" w:space="0" w:color="auto"/>
                            <w:right w:val="none" w:sz="0" w:space="0" w:color="auto"/>
                          </w:divBdr>
                        </w:div>
                      </w:divsChild>
                    </w:div>
                    <w:div w:id="52311310">
                      <w:marLeft w:val="-225"/>
                      <w:marRight w:val="-225"/>
                      <w:marTop w:val="0"/>
                      <w:marBottom w:val="0"/>
                      <w:divBdr>
                        <w:top w:val="none" w:sz="0" w:space="0" w:color="auto"/>
                        <w:left w:val="none" w:sz="0" w:space="0" w:color="auto"/>
                        <w:bottom w:val="none" w:sz="0" w:space="0" w:color="auto"/>
                        <w:right w:val="none" w:sz="0" w:space="0" w:color="auto"/>
                      </w:divBdr>
                      <w:divsChild>
                        <w:div w:id="1384671937">
                          <w:marLeft w:val="0"/>
                          <w:marRight w:val="0"/>
                          <w:marTop w:val="0"/>
                          <w:marBottom w:val="0"/>
                          <w:divBdr>
                            <w:top w:val="none" w:sz="0" w:space="0" w:color="auto"/>
                            <w:left w:val="none" w:sz="0" w:space="0" w:color="auto"/>
                            <w:bottom w:val="none" w:sz="0" w:space="0" w:color="auto"/>
                            <w:right w:val="none" w:sz="0" w:space="0" w:color="auto"/>
                          </w:divBdr>
                          <w:divsChild>
                            <w:div w:id="2043900648">
                              <w:marLeft w:val="0"/>
                              <w:marRight w:val="0"/>
                              <w:marTop w:val="0"/>
                              <w:marBottom w:val="0"/>
                              <w:divBdr>
                                <w:top w:val="none" w:sz="0" w:space="0" w:color="auto"/>
                                <w:left w:val="none" w:sz="0" w:space="0" w:color="auto"/>
                                <w:bottom w:val="none" w:sz="0" w:space="0" w:color="auto"/>
                                <w:right w:val="none" w:sz="0" w:space="0" w:color="auto"/>
                              </w:divBdr>
                            </w:div>
                          </w:divsChild>
                        </w:div>
                        <w:div w:id="1029338457">
                          <w:marLeft w:val="0"/>
                          <w:marRight w:val="0"/>
                          <w:marTop w:val="0"/>
                          <w:marBottom w:val="0"/>
                          <w:divBdr>
                            <w:top w:val="none" w:sz="0" w:space="0" w:color="auto"/>
                            <w:left w:val="none" w:sz="0" w:space="0" w:color="auto"/>
                            <w:bottom w:val="none" w:sz="0" w:space="0" w:color="auto"/>
                            <w:right w:val="none" w:sz="0" w:space="0" w:color="auto"/>
                          </w:divBdr>
                          <w:divsChild>
                            <w:div w:id="64357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376532">
              <w:marLeft w:val="0"/>
              <w:marRight w:val="0"/>
              <w:marTop w:val="0"/>
              <w:marBottom w:val="0"/>
              <w:divBdr>
                <w:top w:val="none" w:sz="0" w:space="0" w:color="auto"/>
                <w:left w:val="none" w:sz="0" w:space="0" w:color="auto"/>
                <w:bottom w:val="none" w:sz="0" w:space="0" w:color="auto"/>
                <w:right w:val="none" w:sz="0" w:space="0" w:color="auto"/>
              </w:divBdr>
            </w:div>
            <w:div w:id="1401171302">
              <w:marLeft w:val="0"/>
              <w:marRight w:val="0"/>
              <w:marTop w:val="0"/>
              <w:marBottom w:val="0"/>
              <w:divBdr>
                <w:top w:val="none" w:sz="0" w:space="0" w:color="auto"/>
                <w:left w:val="none" w:sz="0" w:space="0" w:color="auto"/>
                <w:bottom w:val="none" w:sz="0" w:space="0" w:color="auto"/>
                <w:right w:val="none" w:sz="0" w:space="0" w:color="auto"/>
              </w:divBdr>
              <w:divsChild>
                <w:div w:id="1678993341">
                  <w:marLeft w:val="-225"/>
                  <w:marRight w:val="-225"/>
                  <w:marTop w:val="0"/>
                  <w:marBottom w:val="0"/>
                  <w:divBdr>
                    <w:top w:val="none" w:sz="0" w:space="0" w:color="auto"/>
                    <w:left w:val="none" w:sz="0" w:space="0" w:color="auto"/>
                    <w:bottom w:val="none" w:sz="0" w:space="0" w:color="auto"/>
                    <w:right w:val="none" w:sz="0" w:space="0" w:color="auto"/>
                  </w:divBdr>
                  <w:divsChild>
                    <w:div w:id="1728409125">
                      <w:marLeft w:val="0"/>
                      <w:marRight w:val="0"/>
                      <w:marTop w:val="0"/>
                      <w:marBottom w:val="0"/>
                      <w:divBdr>
                        <w:top w:val="none" w:sz="0" w:space="0" w:color="auto"/>
                        <w:left w:val="none" w:sz="0" w:space="0" w:color="auto"/>
                        <w:bottom w:val="none" w:sz="0" w:space="0" w:color="auto"/>
                        <w:right w:val="none" w:sz="0" w:space="0" w:color="auto"/>
                      </w:divBdr>
                      <w:divsChild>
                        <w:div w:id="310521578">
                          <w:marLeft w:val="0"/>
                          <w:marRight w:val="0"/>
                          <w:marTop w:val="0"/>
                          <w:marBottom w:val="0"/>
                          <w:divBdr>
                            <w:top w:val="none" w:sz="0" w:space="0" w:color="auto"/>
                            <w:left w:val="none" w:sz="0" w:space="0" w:color="auto"/>
                            <w:bottom w:val="none" w:sz="0" w:space="0" w:color="auto"/>
                            <w:right w:val="none" w:sz="0" w:space="0" w:color="auto"/>
                          </w:divBdr>
                        </w:div>
                      </w:divsChild>
                    </w:div>
                    <w:div w:id="1326472571">
                      <w:marLeft w:val="-225"/>
                      <w:marRight w:val="-225"/>
                      <w:marTop w:val="0"/>
                      <w:marBottom w:val="0"/>
                      <w:divBdr>
                        <w:top w:val="none" w:sz="0" w:space="0" w:color="auto"/>
                        <w:left w:val="none" w:sz="0" w:space="0" w:color="auto"/>
                        <w:bottom w:val="none" w:sz="0" w:space="0" w:color="auto"/>
                        <w:right w:val="none" w:sz="0" w:space="0" w:color="auto"/>
                      </w:divBdr>
                      <w:divsChild>
                        <w:div w:id="1882477465">
                          <w:marLeft w:val="0"/>
                          <w:marRight w:val="0"/>
                          <w:marTop w:val="0"/>
                          <w:marBottom w:val="0"/>
                          <w:divBdr>
                            <w:top w:val="none" w:sz="0" w:space="0" w:color="auto"/>
                            <w:left w:val="none" w:sz="0" w:space="0" w:color="auto"/>
                            <w:bottom w:val="none" w:sz="0" w:space="0" w:color="auto"/>
                            <w:right w:val="none" w:sz="0" w:space="0" w:color="auto"/>
                          </w:divBdr>
                          <w:divsChild>
                            <w:div w:id="742917196">
                              <w:marLeft w:val="0"/>
                              <w:marRight w:val="0"/>
                              <w:marTop w:val="0"/>
                              <w:marBottom w:val="0"/>
                              <w:divBdr>
                                <w:top w:val="none" w:sz="0" w:space="0" w:color="auto"/>
                                <w:left w:val="none" w:sz="0" w:space="0" w:color="auto"/>
                                <w:bottom w:val="none" w:sz="0" w:space="0" w:color="auto"/>
                                <w:right w:val="none" w:sz="0" w:space="0" w:color="auto"/>
                              </w:divBdr>
                            </w:div>
                          </w:divsChild>
                        </w:div>
                        <w:div w:id="1463578197">
                          <w:marLeft w:val="0"/>
                          <w:marRight w:val="0"/>
                          <w:marTop w:val="0"/>
                          <w:marBottom w:val="0"/>
                          <w:divBdr>
                            <w:top w:val="none" w:sz="0" w:space="0" w:color="auto"/>
                            <w:left w:val="none" w:sz="0" w:space="0" w:color="auto"/>
                            <w:bottom w:val="none" w:sz="0" w:space="0" w:color="auto"/>
                            <w:right w:val="none" w:sz="0" w:space="0" w:color="auto"/>
                          </w:divBdr>
                          <w:divsChild>
                            <w:div w:id="119487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442695">
              <w:marLeft w:val="0"/>
              <w:marRight w:val="0"/>
              <w:marTop w:val="0"/>
              <w:marBottom w:val="0"/>
              <w:divBdr>
                <w:top w:val="none" w:sz="0" w:space="0" w:color="auto"/>
                <w:left w:val="none" w:sz="0" w:space="0" w:color="auto"/>
                <w:bottom w:val="none" w:sz="0" w:space="0" w:color="auto"/>
                <w:right w:val="none" w:sz="0" w:space="0" w:color="auto"/>
              </w:divBdr>
            </w:div>
            <w:div w:id="57477785">
              <w:marLeft w:val="0"/>
              <w:marRight w:val="0"/>
              <w:marTop w:val="0"/>
              <w:marBottom w:val="0"/>
              <w:divBdr>
                <w:top w:val="none" w:sz="0" w:space="0" w:color="auto"/>
                <w:left w:val="none" w:sz="0" w:space="0" w:color="auto"/>
                <w:bottom w:val="none" w:sz="0" w:space="0" w:color="auto"/>
                <w:right w:val="none" w:sz="0" w:space="0" w:color="auto"/>
              </w:divBdr>
              <w:divsChild>
                <w:div w:id="1847404924">
                  <w:marLeft w:val="-225"/>
                  <w:marRight w:val="-225"/>
                  <w:marTop w:val="0"/>
                  <w:marBottom w:val="0"/>
                  <w:divBdr>
                    <w:top w:val="none" w:sz="0" w:space="0" w:color="auto"/>
                    <w:left w:val="none" w:sz="0" w:space="0" w:color="auto"/>
                    <w:bottom w:val="none" w:sz="0" w:space="0" w:color="auto"/>
                    <w:right w:val="none" w:sz="0" w:space="0" w:color="auto"/>
                  </w:divBdr>
                  <w:divsChild>
                    <w:div w:id="2071808560">
                      <w:marLeft w:val="0"/>
                      <w:marRight w:val="0"/>
                      <w:marTop w:val="0"/>
                      <w:marBottom w:val="0"/>
                      <w:divBdr>
                        <w:top w:val="none" w:sz="0" w:space="0" w:color="auto"/>
                        <w:left w:val="none" w:sz="0" w:space="0" w:color="auto"/>
                        <w:bottom w:val="none" w:sz="0" w:space="0" w:color="auto"/>
                        <w:right w:val="none" w:sz="0" w:space="0" w:color="auto"/>
                      </w:divBdr>
                      <w:divsChild>
                        <w:div w:id="908467472">
                          <w:marLeft w:val="0"/>
                          <w:marRight w:val="0"/>
                          <w:marTop w:val="0"/>
                          <w:marBottom w:val="0"/>
                          <w:divBdr>
                            <w:top w:val="none" w:sz="0" w:space="0" w:color="auto"/>
                            <w:left w:val="none" w:sz="0" w:space="0" w:color="auto"/>
                            <w:bottom w:val="none" w:sz="0" w:space="0" w:color="auto"/>
                            <w:right w:val="none" w:sz="0" w:space="0" w:color="auto"/>
                          </w:divBdr>
                        </w:div>
                      </w:divsChild>
                    </w:div>
                    <w:div w:id="1154419218">
                      <w:marLeft w:val="-225"/>
                      <w:marRight w:val="-225"/>
                      <w:marTop w:val="0"/>
                      <w:marBottom w:val="0"/>
                      <w:divBdr>
                        <w:top w:val="none" w:sz="0" w:space="0" w:color="auto"/>
                        <w:left w:val="none" w:sz="0" w:space="0" w:color="auto"/>
                        <w:bottom w:val="none" w:sz="0" w:space="0" w:color="auto"/>
                        <w:right w:val="none" w:sz="0" w:space="0" w:color="auto"/>
                      </w:divBdr>
                      <w:divsChild>
                        <w:div w:id="1044791163">
                          <w:marLeft w:val="0"/>
                          <w:marRight w:val="0"/>
                          <w:marTop w:val="0"/>
                          <w:marBottom w:val="0"/>
                          <w:divBdr>
                            <w:top w:val="none" w:sz="0" w:space="0" w:color="auto"/>
                            <w:left w:val="none" w:sz="0" w:space="0" w:color="auto"/>
                            <w:bottom w:val="none" w:sz="0" w:space="0" w:color="auto"/>
                            <w:right w:val="none" w:sz="0" w:space="0" w:color="auto"/>
                          </w:divBdr>
                          <w:divsChild>
                            <w:div w:id="1139344022">
                              <w:marLeft w:val="0"/>
                              <w:marRight w:val="0"/>
                              <w:marTop w:val="0"/>
                              <w:marBottom w:val="0"/>
                              <w:divBdr>
                                <w:top w:val="none" w:sz="0" w:space="0" w:color="auto"/>
                                <w:left w:val="none" w:sz="0" w:space="0" w:color="auto"/>
                                <w:bottom w:val="none" w:sz="0" w:space="0" w:color="auto"/>
                                <w:right w:val="none" w:sz="0" w:space="0" w:color="auto"/>
                              </w:divBdr>
                            </w:div>
                          </w:divsChild>
                        </w:div>
                        <w:div w:id="1766801010">
                          <w:marLeft w:val="0"/>
                          <w:marRight w:val="0"/>
                          <w:marTop w:val="0"/>
                          <w:marBottom w:val="0"/>
                          <w:divBdr>
                            <w:top w:val="none" w:sz="0" w:space="0" w:color="auto"/>
                            <w:left w:val="none" w:sz="0" w:space="0" w:color="auto"/>
                            <w:bottom w:val="none" w:sz="0" w:space="0" w:color="auto"/>
                            <w:right w:val="none" w:sz="0" w:space="0" w:color="auto"/>
                          </w:divBdr>
                          <w:divsChild>
                            <w:div w:id="150473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959171">
              <w:marLeft w:val="0"/>
              <w:marRight w:val="0"/>
              <w:marTop w:val="0"/>
              <w:marBottom w:val="0"/>
              <w:divBdr>
                <w:top w:val="none" w:sz="0" w:space="0" w:color="auto"/>
                <w:left w:val="none" w:sz="0" w:space="0" w:color="auto"/>
                <w:bottom w:val="none" w:sz="0" w:space="0" w:color="auto"/>
                <w:right w:val="none" w:sz="0" w:space="0" w:color="auto"/>
              </w:divBdr>
            </w:div>
          </w:divsChild>
        </w:div>
        <w:div w:id="972102416">
          <w:marLeft w:val="0"/>
          <w:marRight w:val="0"/>
          <w:marTop w:val="0"/>
          <w:marBottom w:val="0"/>
          <w:divBdr>
            <w:top w:val="none" w:sz="0" w:space="0" w:color="auto"/>
            <w:left w:val="none" w:sz="0" w:space="0" w:color="auto"/>
            <w:bottom w:val="none" w:sz="0" w:space="0" w:color="auto"/>
            <w:right w:val="none" w:sz="0" w:space="0" w:color="auto"/>
          </w:divBdr>
          <w:divsChild>
            <w:div w:id="95802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5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lfoundation.sharepoint.com/sites/BrandGuide/Office%20Templates/LFA_Word+Document+Portrait_2026.dotx" TargetMode="External"/></Relationships>
</file>

<file path=word/theme/theme1.xml><?xml version="1.0" encoding="utf-8"?>
<a:theme xmlns:a="http://schemas.openxmlformats.org/drawingml/2006/main" name="LFA">
  <a:themeElements>
    <a:clrScheme name="Lung Foundation">
      <a:dk1>
        <a:sysClr val="windowText" lastClr="000000"/>
      </a:dk1>
      <a:lt1>
        <a:sysClr val="window" lastClr="FFFFFF"/>
      </a:lt1>
      <a:dk2>
        <a:srgbClr val="0F1921"/>
      </a:dk2>
      <a:lt2>
        <a:srgbClr val="0F7239"/>
      </a:lt2>
      <a:accent1>
        <a:srgbClr val="158C40"/>
      </a:accent1>
      <a:accent2>
        <a:srgbClr val="14874A"/>
      </a:accent2>
      <a:accent3>
        <a:srgbClr val="6DBE4A"/>
      </a:accent3>
      <a:accent4>
        <a:srgbClr val="0F1921"/>
      </a:accent4>
      <a:accent5>
        <a:srgbClr val="6EBE44"/>
      </a:accent5>
      <a:accent6>
        <a:srgbClr val="A6CE44"/>
      </a:accent6>
      <a:hlink>
        <a:srgbClr val="0563C1"/>
      </a:hlink>
      <a:folHlink>
        <a:srgbClr val="954F72"/>
      </a:folHlink>
    </a:clrScheme>
    <a:fontScheme name="Lung Foundation">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3FD9E108CA8640AF2336A9732EC447" ma:contentTypeVersion="17" ma:contentTypeDescription="Create a new document." ma:contentTypeScope="" ma:versionID="9167337020a1851cb86af75271743406">
  <xsd:schema xmlns:xsd="http://www.w3.org/2001/XMLSchema" xmlns:xs="http://www.w3.org/2001/XMLSchema" xmlns:p="http://schemas.microsoft.com/office/2006/metadata/properties" xmlns:ns1="http://schemas.microsoft.com/sharepoint/v3" xmlns:ns2="1d705c84-7d90-4a73-b512-5c560b9a33e0" xmlns:ns3="e6d06bd8-690e-4a60-8728-e7a05eb970a8" targetNamespace="http://schemas.microsoft.com/office/2006/metadata/properties" ma:root="true" ma:fieldsID="ff5dbe97a4dd5829566d827336de8ede" ns1:_="" ns2:_="" ns3:_="">
    <xsd:import namespace="http://schemas.microsoft.com/sharepoint/v3"/>
    <xsd:import namespace="1d705c84-7d90-4a73-b512-5c560b9a33e0"/>
    <xsd:import namespace="e6d06bd8-690e-4a60-8728-e7a05eb970a8"/>
    <xsd:element name="properties">
      <xsd:complexType>
        <xsd:sequence>
          <xsd:element name="documentManagement">
            <xsd:complexType>
              <xsd:all>
                <xsd:element ref="ns2:Owner" minOccurs="0"/>
                <xsd:element ref="ns2:Disease_x002f_service" minOccurs="0"/>
                <xsd:element ref="ns2:Comment" minOccurs="0"/>
                <xsd:element ref="ns1:URL"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705c84-7d90-4a73-b512-5c560b9a33e0" elementFormDefault="qualified">
    <xsd:import namespace="http://schemas.microsoft.com/office/2006/documentManagement/types"/>
    <xsd:import namespace="http://schemas.microsoft.com/office/infopath/2007/PartnerControls"/>
    <xsd:element name="Owner" ma:index="2" nillable="true" ma:displayName="Owner"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ease_x002f_service" ma:index="3" nillable="true" ma:displayName="Disease/service" ma:format="Dropdown" ma:internalName="Disease_x002f_service">
      <xsd:simpleType>
        <xsd:restriction base="dms:Choice">
          <xsd:enumeration value="Disease specific"/>
          <xsd:enumeration value="Service Delivery"/>
          <xsd:enumeration value="Choice 3"/>
        </xsd:restriction>
      </xsd:simpleType>
    </xsd:element>
    <xsd:element name="Comment" ma:index="5" nillable="true" ma:displayName="Comment" ma:internalName="Comment">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ca14a6b-f780-48d9-bc37-2b98b61cd8a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d06bd8-690e-4a60-8728-e7a05eb970a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115610d-baec-4e56-ab54-691be4db1445}" ma:internalName="TaxCatchAll" ma:showField="CatchAllData" ma:web="e6d06bd8-690e-4a60-8728-e7a05eb970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isease_x002f_service xmlns="1d705c84-7d90-4a73-b512-5c560b9a33e0" xsi:nil="true"/>
    <URL xmlns="http://schemas.microsoft.com/sharepoint/v3">
      <Url xsi:nil="true"/>
      <Description xsi:nil="true"/>
    </URL>
    <Owner xmlns="1d705c84-7d90-4a73-b512-5c560b9a33e0">
      <UserInfo>
        <DisplayName/>
        <AccountId xsi:nil="true"/>
        <AccountType/>
      </UserInfo>
    </Owner>
    <Comment xmlns="1d705c84-7d90-4a73-b512-5c560b9a33e0" xsi:nil="true"/>
    <TaxCatchAll xmlns="e6d06bd8-690e-4a60-8728-e7a05eb970a8"/>
    <lcf76f155ced4ddcb4097134ff3c332f xmlns="1d705c84-7d90-4a73-b512-5c560b9a33e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E1720E-D141-4EF2-BE93-144A561EF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d705c84-7d90-4a73-b512-5c560b9a33e0"/>
    <ds:schemaRef ds:uri="e6d06bd8-690e-4a60-8728-e7a05eb970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825269-522B-45C1-95F5-C791A0EA9E6D}">
  <ds:schemaRefs>
    <ds:schemaRef ds:uri="http://schemas.microsoft.com/sharepoint/v3/contenttype/forms"/>
  </ds:schemaRefs>
</ds:datastoreItem>
</file>

<file path=customXml/itemProps3.xml><?xml version="1.0" encoding="utf-8"?>
<ds:datastoreItem xmlns:ds="http://schemas.openxmlformats.org/officeDocument/2006/customXml" ds:itemID="{CD3BCCC7-4B18-46F5-AF40-66AA85B6A4D9}">
  <ds:schemaRefs>
    <ds:schemaRef ds:uri="http://schemas.openxmlformats.org/officeDocument/2006/bibliography"/>
  </ds:schemaRefs>
</ds:datastoreItem>
</file>

<file path=customXml/itemProps4.xml><?xml version="1.0" encoding="utf-8"?>
<ds:datastoreItem xmlns:ds="http://schemas.openxmlformats.org/officeDocument/2006/customXml" ds:itemID="{FF109509-063F-4775-90F8-48A3E6185BDE}">
  <ds:schemaRefs>
    <ds:schemaRef ds:uri="http://schemas.microsoft.com/office/2006/metadata/properties"/>
    <ds:schemaRef ds:uri="http://schemas.microsoft.com/office/infopath/2007/PartnerControls"/>
    <ds:schemaRef ds:uri="1d705c84-7d90-4a73-b512-5c560b9a33e0"/>
    <ds:schemaRef ds:uri="http://schemas.microsoft.com/sharepoint/v3"/>
    <ds:schemaRef ds:uri="e6d06bd8-690e-4a60-8728-e7a05eb970a8"/>
  </ds:schemaRefs>
</ds:datastoreItem>
</file>

<file path=docProps/app.xml><?xml version="1.0" encoding="utf-8"?>
<Properties xmlns="http://schemas.openxmlformats.org/officeDocument/2006/extended-properties" xmlns:vt="http://schemas.openxmlformats.org/officeDocument/2006/docPropsVTypes">
  <Template>LFA_Word+Document+Portrait_2026.dotx</Template>
  <TotalTime>2</TotalTime>
  <Pages>2</Pages>
  <Words>700</Words>
  <Characters>4486</Characters>
  <Application>Microsoft Office Word</Application>
  <DocSecurity>0</DocSecurity>
  <Lines>99</Lines>
  <Paragraphs>58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Robyn Ordman</dc:creator>
  <cp:lastModifiedBy>Robyn Ordman</cp:lastModifiedBy>
  <cp:revision>4</cp:revision>
  <dcterms:created xsi:type="dcterms:W3CDTF">2026-07-13T03:28:00Z</dcterms:created>
  <dcterms:modified xsi:type="dcterms:W3CDTF">2026-07-13T03:30:00Z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0x0101005A3FD9E108CA8640AF2336A9732EC447</vt:lpwstr>
  </property>
  <property fmtid="{D5CDD505-2E9C-101B-9397-08002B2CF9AE}" pid="3" name="Order">
    <vt:r8>15131300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